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t>ZAŁĄCZNIK 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t>Instrukcje dotyczące wzorów do celów ujawniania informacji</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Wzór EU OV1 – Przegląd łącznych kwot ekspozycji na ryzyko. </w:t>
      </w:r>
      <w:r>
        <w:rPr>
          <w:rFonts w:ascii="Times New Roman" w:hAnsi="Times New Roman"/>
          <w:color w:val="auto"/>
          <w:sz w:val="24"/>
        </w:rPr>
        <w:t>Format stały.</w:t>
      </w:r>
    </w:p>
    <w:p w14:paraId="1FC729B5" w14:textId="1B5E08A3"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rPr>
      </w:pPr>
      <w:r>
        <w:rPr>
          <w:rFonts w:ascii="Times New Roman" w:hAnsi="Times New Roman"/>
          <w:color w:val="auto"/>
          <w:sz w:val="24"/>
        </w:rPr>
        <w:t>Instytucje stosują poniższe instrukcje w celu wypełnienia wzoru EU OV1 zamieszczonego w załączniku I do rozwiązań informatycznych EUNB zgodnie z art. 438 lit. d) rozporządzenia (UE) nr 575/2013 („CRR”)</w:t>
      </w:r>
      <w:r>
        <w:rPr>
          <w:rStyle w:val="FootnoteReference"/>
          <w:rFonts w:ascii="Times New Roman" w:eastAsiaTheme="minorEastAsia" w:hAnsi="Times New Roman" w:cs="Times New Roman"/>
          <w:bCs w:val="0"/>
          <w:color w:val="auto"/>
          <w:lang w:val="en-GB"/>
        </w:rPr>
        <w:footnoteReference w:id="2"/>
      </w:r>
      <w:r>
        <w:rPr>
          <w:rFonts w:ascii="Times New Roman" w:hAnsi="Times New Roman"/>
          <w:color w:val="auto"/>
          <w:sz w:val="24"/>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W stosownych przypadkach w opisie dołączonym do wzoru instytucje wyjaśniają, jaki jest wpływ stosowania wymogów kapitałowych i nieodliczania wartości pozycji od kwoty funduszy własnych na obliczenie kwoty funduszy własnych i kwoty ekspozycji na ryzyko.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Pr>
                <w:rFonts w:ascii="Times New Roman" w:hAnsi="Times New Roman"/>
                <w:b/>
                <w:sz w:val="24"/>
              </w:rPr>
              <w:t>Oznaczenie kolumny</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Pr>
                <w:rFonts w:ascii="Times New Roman" w:hAnsi="Times New Roman"/>
                <w:b/>
                <w:sz w:val="24"/>
              </w:rPr>
              <w:t xml:space="preserve">Łączne kwoty ekspozycji na ryzyko </w:t>
            </w:r>
          </w:p>
          <w:p w14:paraId="2C2ABAC7" w14:textId="79B1D280" w:rsidR="007F5865" w:rsidRPr="00232C88" w:rsidRDefault="00476E72" w:rsidP="00476E72">
            <w:pPr>
              <w:spacing w:before="60" w:after="120"/>
              <w:jc w:val="both"/>
              <w:rPr>
                <w:rFonts w:ascii="Times New Roman" w:hAnsi="Times New Roman" w:cs="Times New Roman"/>
                <w:sz w:val="24"/>
              </w:rPr>
            </w:pPr>
            <w:r>
              <w:rPr>
                <w:rFonts w:ascii="Times New Roman" w:hAnsi="Times New Roman"/>
                <w:sz w:val="24"/>
              </w:rPr>
              <w:t>Łączna kwota ekspozycji na ryzyko obliczona zgodnie z art. 92 ust. 4 rozporządzenia (UE) nr 575/2013 w odniesieniu do wierszy 1–28, art. 92 ust. 3 tego rozporządzenia w odniesieniu do wiersza 29 oraz art. 95, 96 i 98 rozporządzenia (UE) nr 575/2013.</w:t>
            </w:r>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Pr>
                <w:rFonts w:ascii="Times New Roman" w:hAnsi="Times New Roman"/>
                <w:b/>
                <w:sz w:val="24"/>
              </w:rPr>
              <w:t xml:space="preserve">Łączne kwoty ekspozycji na ryzyko (T-1) </w:t>
            </w:r>
          </w:p>
          <w:p w14:paraId="3470438E" w14:textId="65A77898" w:rsidR="00720050" w:rsidRPr="00232C88" w:rsidRDefault="00476E72" w:rsidP="00B74E92">
            <w:pPr>
              <w:spacing w:before="60" w:after="120"/>
              <w:jc w:val="both"/>
              <w:rPr>
                <w:rFonts w:ascii="Times New Roman" w:eastAsia="Times New Roman" w:hAnsi="Times New Roman" w:cs="Times New Roman"/>
                <w:sz w:val="24"/>
              </w:rPr>
            </w:pPr>
            <w:r>
              <w:rPr>
                <w:rFonts w:ascii="Times New Roman" w:hAnsi="Times New Roman"/>
                <w:sz w:val="24"/>
              </w:rPr>
              <w:t>Łączne kwoty ekspozycji na ryzyko ujawnione w poprzednim okresie, za który informacje podlegają ujawnieniu.</w:t>
            </w:r>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Pr>
                <w:rFonts w:ascii="Times New Roman" w:hAnsi="Times New Roman"/>
                <w:b/>
                <w:sz w:val="24"/>
              </w:rPr>
              <w:t>Łączne wymogi w zakresie funduszy własnych</w:t>
            </w:r>
          </w:p>
          <w:p w14:paraId="024E3DB2" w14:textId="36A36774" w:rsidR="00720050" w:rsidRPr="00232C88" w:rsidRDefault="00720050" w:rsidP="004606A7">
            <w:pPr>
              <w:spacing w:before="60" w:after="120"/>
              <w:jc w:val="both"/>
              <w:rPr>
                <w:rFonts w:ascii="Times New Roman" w:eastAsia="Times New Roman" w:hAnsi="Times New Roman" w:cs="Times New Roman"/>
                <w:sz w:val="24"/>
              </w:rPr>
            </w:pPr>
            <w:r>
              <w:rPr>
                <w:rFonts w:ascii="Times New Roman" w:hAnsi="Times New Roman"/>
                <w:sz w:val="24"/>
              </w:rPr>
              <w:t>Wymogi w zakresie funduszy własnych odpowiadające łącznej kwocie ekspozycji na</w:t>
            </w:r>
            <w:r w:rsidR="007263C1">
              <w:rPr>
                <w:rFonts w:ascii="Times New Roman" w:hAnsi="Times New Roman"/>
                <w:sz w:val="24"/>
              </w:rPr>
              <w:t xml:space="preserve"> </w:t>
            </w:r>
            <w:r>
              <w:rPr>
                <w:rFonts w:ascii="Times New Roman" w:hAnsi="Times New Roman"/>
                <w:sz w:val="24"/>
              </w:rPr>
              <w:t>ryzyko w przypadku poszczególnych kategorii ryzyka.</w:t>
            </w:r>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Pr>
                <w:rFonts w:ascii="Times New Roman" w:hAnsi="Times New Roman"/>
                <w:b/>
                <w:sz w:val="24"/>
              </w:rPr>
              <w:t>Oznaczenie wiersza</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Pr>
                <w:rFonts w:ascii="Times New Roman" w:hAnsi="Times New Roman"/>
                <w:b/>
                <w:sz w:val="24"/>
              </w:rPr>
              <w:t>Ryzyko kredytowe (z wyłączeniem ryzyka kredytowego kontrahenta)</w:t>
            </w:r>
          </w:p>
          <w:p w14:paraId="3A25A955" w14:textId="4673C726" w:rsidR="001A0C8D" w:rsidRPr="00232C88" w:rsidRDefault="000A4A93" w:rsidP="00A25707">
            <w:pPr>
              <w:spacing w:before="60" w:after="120"/>
              <w:jc w:val="both"/>
              <w:rPr>
                <w:rFonts w:ascii="Times New Roman" w:hAnsi="Times New Roman" w:cs="Times New Roman"/>
                <w:sz w:val="24"/>
              </w:rPr>
            </w:pPr>
            <w:r>
              <w:rPr>
                <w:rFonts w:ascii="Times New Roman" w:hAnsi="Times New Roman"/>
                <w:sz w:val="24"/>
              </w:rPr>
              <w:t xml:space="preserve">Kwoty ekspozycji ważonych ryzykiem i wymogi w zakresie funduszy własnych obliczane zgodnie z częścią trzecią tytuł II rozdziały 1–4 rozporządzenia (UE) nr 575/2013 i art. 379 rozporządzenia (UE) nr 575/2013. Kwoty ekspozycji ważonych ryzykiem z tytułu ryzyka kredytowego kontrahenta (rozporządzenie (UE) nr 575/2013) oraz z tytułu ekspozycji sekurytyzacyjnych w portfelu bankowym są wyłączone i ujawniane w wierszach 6 i 16 niniejszego wzoru. W kwocie ujawnianej w tym wierszu instytucje uwzględniają kwoty ekspozycji ważonych ryzykiem i wymogi w </w:t>
            </w:r>
            <w:r>
              <w:rPr>
                <w:rFonts w:ascii="Times New Roman" w:hAnsi="Times New Roman"/>
                <w:sz w:val="24"/>
              </w:rPr>
              <w:lastRenderedPageBreak/>
              <w:t>zakresie funduszy własnych z tytułu ryzyka związanego z dostawami z późniejszym terminem rozliczenia, obliczone zgodnie z art. 379 rozporządzenia (UE) nr 575/2013.</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Ryzyko kredytowe (z wyłączeniem ryzyka kredytowego kontrahenta) – w tym metoda standardowa</w:t>
            </w:r>
          </w:p>
          <w:p w14:paraId="1DD2511C" w14:textId="7328A2B3" w:rsidR="004A5BCD" w:rsidRPr="00232C88" w:rsidRDefault="009A4635" w:rsidP="0097538A">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i wymogi w zakresie funduszy własnych obliczane zgodnie z metodą standardową dotyczącą ryzyka kredytowego (część trzecia tytuł II rozdział 2 rozporządzenia (UE) nr 575/2013 i art. 379 rozporządzenia (UE) nr 575/2013).</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Pr>
                <w:rFonts w:ascii="Times New Roman" w:hAnsi="Times New Roman"/>
                <w:b/>
                <w:sz w:val="24"/>
              </w:rPr>
              <w:t xml:space="preserve">Ryzyko kredytowe (z wyłączeniem ryzyka kredytowego kontrahenta) – w tym podstawowa metoda IRB (F-IRB) </w:t>
            </w:r>
          </w:p>
          <w:p w14:paraId="67755B7F" w14:textId="6B3A98C3" w:rsidR="008B269B"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i wymogi w zakresie funduszy własnych obliczane zgodnie z podstawową metodą IRB dotyczącą ryzyka kredytowego (część trzecia tytuł II rozdział 3 rozporządzenia (UE) nr 575/2013), z wyłączeniem kwot ekspozycji ważonych ryzykiem ujawnianych w wierszu 4 w odniesieniu do ekspozycji z tytułu kredytowania specjalistycznego objętych metodą klasyfikacji oraz w wierszu EU 4a w odniesieniu do instrumentów kapitałowych objętych uproszczoną metodą ważenia ryzykiem, a także z uwzględnieniem kwot ekspozycji ważonych ryzykiem i wymogów w zakresie funduszy własnych obliczanych zgodnie z art. 379 rozporządzenia (UE) nr 575/2013).</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Ryzyko kredytowe (z wyłączeniem ryzyka kredytowego kontrahenta) – w tym: metoda klasyfikacji</w:t>
            </w:r>
          </w:p>
          <w:p w14:paraId="0A705407" w14:textId="42036DAC"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w odniesieniu do ekspozycji z tytułu kredytowania specjalistycznego objętych metodą klasyfikacji obliczanych zgodnie z art. 153 ust. 5 rozporządzenia (UE) nr 575/2013.</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t>EU 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Ryzyko kredytowe (z wyłączeniem ryzyka kredytowego kontrahenta) – w tym: instrumenty kapitałowe objęte uproszczoną metodą ważenia ryzykiem</w:t>
            </w:r>
          </w:p>
          <w:p w14:paraId="5661C7E6" w14:textId="45F15349" w:rsidR="00FA1376" w:rsidRPr="00232C88" w:rsidRDefault="009A4635" w:rsidP="0077689B">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i wymogi w zakresie funduszy własnych w odniesieniu do ekspozycji z tytułu instrumentów kapitałowych, kiedy zastosowanie mają przepisy przejściowe art. 495 ust. 1 lit. b) rozporządzenia (UE) nr 575/2013.</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Pr>
                <w:rFonts w:ascii="Times New Roman" w:hAnsi="Times New Roman"/>
                <w:b/>
                <w:sz w:val="24"/>
              </w:rPr>
              <w:t>Ryzyko kredytowe (z wyłączeniem ryzyka kredytowego kontrahenta) – w tym zaawansowana metoda IRB (A-IRB)</w:t>
            </w:r>
          </w:p>
          <w:p w14:paraId="7667081C" w14:textId="5A6E8BF3" w:rsidR="00460FF6" w:rsidRPr="00232C88" w:rsidRDefault="00460FF6" w:rsidP="4D769726">
            <w:pPr>
              <w:spacing w:before="60" w:after="120"/>
              <w:jc w:val="both"/>
              <w:rPr>
                <w:rFonts w:ascii="Times New Roman" w:eastAsia="Times New Roman" w:hAnsi="Times New Roman" w:cs="Times New Roman"/>
                <w:sz w:val="24"/>
              </w:rPr>
            </w:pPr>
            <w:r>
              <w:rPr>
                <w:rFonts w:ascii="Times New Roman" w:hAnsi="Times New Roman"/>
                <w:sz w:val="24"/>
              </w:rPr>
              <w:t xml:space="preserve">Kwoty ekspozycji ważonych ryzykiem i wymogi w zakresie funduszy własnych obliczane zgodnie z zaawansowaną metodą IRB dotyczącą ryzyka kredytowego (część trzecia tytuł II rozdział 3 rozporządzenia (UE) nr 575/2013), z wyłączeniem kwot ekspozycji ważonych ryzykiem ujawnianych w wierszu 4 w odniesieniu do ekspozycji z tytułu kredytowania specjalistycznego objętych metodą klasyfikacji oraz w wierszu EU 4a w odniesieniu do instrumentów kapitałowych objętych uproszczoną metodą </w:t>
            </w:r>
            <w:r>
              <w:rPr>
                <w:rFonts w:ascii="Times New Roman" w:hAnsi="Times New Roman"/>
                <w:sz w:val="24"/>
              </w:rPr>
              <w:lastRenderedPageBreak/>
              <w:t>ważenia ryzykiem, a także z uwzględnieniem kwot ekspozycji ważonych ryzykiem i wymogów w zakresie funduszy własnych obliczanych zgodnie z art. 379 rozporządzenia (UE) nr 575/2013).</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lastRenderedPageBreak/>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Ryzyko kredytowe kontrahenta </w:t>
            </w:r>
          </w:p>
          <w:p w14:paraId="6E778278" w14:textId="12E427A1" w:rsidR="00FA1376" w:rsidRPr="00232C88" w:rsidRDefault="009A4635" w:rsidP="4D769726">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i wymogi w zakresie funduszy własnych obliczane zgodnie z częścią trzecią tytuł II rozdział 6 rozporządzenia (UE) nr 575/2013 w odniesieniu do ryzyka kredytowego kontrahenta.</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Ryzyko kredytowe kontrahenta – w tym metoda standardowa </w:t>
            </w:r>
          </w:p>
          <w:p w14:paraId="13065A05" w14:textId="21562698"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częścią trzecią tytuł II rozdział 6 sekcja 3 rozporządzenia (UE) nr 575/2013.</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Ryzyko kredytowe kontrahenta – w tym metoda modeli wewnętrznych (IMM) </w:t>
            </w:r>
          </w:p>
          <w:p w14:paraId="3EB08D8D" w14:textId="01135F8D" w:rsidR="00FA1376" w:rsidRPr="00232C88" w:rsidRDefault="009A4635" w:rsidP="002635C4">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art. 283 rozporządzenia (UE) nr 575/2013.</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Ryzyko kredytowe kontrahenta – w tym ekspozycje wobec kontrahenta centralnego</w:t>
            </w:r>
          </w:p>
          <w:p w14:paraId="316A5F55" w14:textId="5F455EE4" w:rsidR="00194611" w:rsidRPr="00232C88" w:rsidRDefault="004D588F" w:rsidP="4D769726">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częścią trzecią tytuł II rozdział 6 sekcja 9 rozporządzenia (UE) nr 575/2013.</w:t>
            </w:r>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Ryzyko kredytowe kontrahenta – w tym pozostałe ryzyko kredytowe kontrahenta</w:t>
            </w:r>
          </w:p>
          <w:p w14:paraId="533B5356" w14:textId="2A949FC3" w:rsidR="004D588F" w:rsidRPr="00232C88" w:rsidRDefault="48604EBF" w:rsidP="7A5B4152">
            <w:pPr>
              <w:spacing w:before="60" w:after="120"/>
              <w:jc w:val="both"/>
              <w:rPr>
                <w:rFonts w:ascii="Times New Roman" w:hAnsi="Times New Roman" w:cs="Times New Roman"/>
                <w:sz w:val="24"/>
              </w:rPr>
            </w:pPr>
            <w:r>
              <w:rPr>
                <w:rFonts w:ascii="Times New Roman" w:hAnsi="Times New Roman"/>
                <w:sz w:val="24"/>
              </w:rPr>
              <w:t>Kwota ekspozycji ważonych ryzykiem i wymogi w zakresie funduszy własnych z tytułu ryzyka kredytowego kontrahenta nieujawniane w wierszach 7, 8 i EU 8a.</w:t>
            </w:r>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t>10</w:t>
            </w:r>
          </w:p>
        </w:tc>
        <w:tc>
          <w:tcPr>
            <w:tcW w:w="7655" w:type="dxa"/>
          </w:tcPr>
          <w:p w14:paraId="6FBF49C6" w14:textId="22C1CF03" w:rsidR="004D588F" w:rsidRPr="00232C88" w:rsidRDefault="6B84787B" w:rsidP="7A5B4152">
            <w:pPr>
              <w:spacing w:before="60" w:after="120" w:line="259" w:lineRule="auto"/>
              <w:jc w:val="both"/>
              <w:rPr>
                <w:rFonts w:ascii="Times New Roman" w:hAnsi="Times New Roman" w:cs="Times New Roman"/>
                <w:b/>
                <w:bCs/>
                <w:sz w:val="24"/>
              </w:rPr>
            </w:pPr>
            <w:r>
              <w:rPr>
                <w:rFonts w:ascii="Times New Roman" w:hAnsi="Times New Roman"/>
                <w:b/>
                <w:sz w:val="24"/>
              </w:rPr>
              <w:t>Ryzyko związane z korektą wyceny kredytowej – ryzyko związane z CVA</w:t>
            </w:r>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częścią trzecią tytuł VI rozporządzenia (UE) nr 575/2013.</w:t>
            </w:r>
          </w:p>
        </w:tc>
      </w:tr>
      <w:tr w:rsidR="00232C88" w:rsidRPr="00232C88" w14:paraId="1A547643" w14:textId="77777777" w:rsidTr="4D769726">
        <w:trPr>
          <w:trHeight w:val="557"/>
        </w:trPr>
        <w:tc>
          <w:tcPr>
            <w:tcW w:w="1384" w:type="dxa"/>
          </w:tcPr>
          <w:p w14:paraId="3C94C191" w14:textId="4A298BE2" w:rsidR="6B84787B" w:rsidRPr="00232C88" w:rsidRDefault="6B84787B" w:rsidP="00254EDB">
            <w:pPr>
              <w:pStyle w:val="Applicationdirecte"/>
              <w:spacing w:before="60" w:line="259" w:lineRule="auto"/>
              <w:jc w:val="center"/>
            </w:pPr>
            <w:r>
              <w:t>EU 10a</w:t>
            </w:r>
          </w:p>
        </w:tc>
        <w:tc>
          <w:tcPr>
            <w:tcW w:w="7655" w:type="dxa"/>
          </w:tcPr>
          <w:p w14:paraId="6CC156C7" w14:textId="4E5A33FC" w:rsidR="6B84787B" w:rsidRPr="00232C88" w:rsidRDefault="6B84787B" w:rsidP="00254EDB">
            <w:pPr>
              <w:spacing w:before="60" w:after="120" w:line="259" w:lineRule="auto"/>
              <w:jc w:val="both"/>
              <w:rPr>
                <w:rFonts w:ascii="Times New Roman" w:hAnsi="Times New Roman" w:cs="Times New Roman"/>
                <w:b/>
                <w:bCs/>
                <w:sz w:val="24"/>
              </w:rPr>
            </w:pPr>
            <w:r>
              <w:rPr>
                <w:rFonts w:ascii="Times New Roman" w:hAnsi="Times New Roman"/>
                <w:b/>
                <w:sz w:val="24"/>
              </w:rPr>
              <w:t>Ryzyko związane z CVA – w tym metoda standardowa (SA)</w:t>
            </w:r>
          </w:p>
          <w:p w14:paraId="1299BEF8" w14:textId="002F7166" w:rsidR="15A479FF" w:rsidRPr="00232C88" w:rsidRDefault="15A479FF" w:rsidP="00254EDB">
            <w:pPr>
              <w:spacing w:before="60" w:after="120" w:line="259" w:lineRule="auto"/>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art. 383 rozporządzenia (UE) nr 575/2013.</w:t>
            </w:r>
          </w:p>
        </w:tc>
      </w:tr>
      <w:tr w:rsidR="00232C88" w:rsidRPr="00232C88" w14:paraId="02EE7C20" w14:textId="77777777" w:rsidTr="4D769726">
        <w:trPr>
          <w:trHeight w:val="557"/>
        </w:trPr>
        <w:tc>
          <w:tcPr>
            <w:tcW w:w="1384" w:type="dxa"/>
          </w:tcPr>
          <w:p w14:paraId="18681198" w14:textId="4CC5C33F" w:rsidR="6B84787B" w:rsidRPr="00232C88" w:rsidRDefault="6B84787B" w:rsidP="00254EDB">
            <w:pPr>
              <w:pStyle w:val="Applicationdirecte"/>
              <w:spacing w:before="60" w:line="259" w:lineRule="auto"/>
              <w:jc w:val="center"/>
            </w:pPr>
            <w:r>
              <w:t>EU 10b</w:t>
            </w:r>
          </w:p>
        </w:tc>
        <w:tc>
          <w:tcPr>
            <w:tcW w:w="7655" w:type="dxa"/>
          </w:tcPr>
          <w:p w14:paraId="1888B262" w14:textId="387A46E5" w:rsidR="2B63221F" w:rsidRPr="00232C88" w:rsidRDefault="2B63221F" w:rsidP="00254EDB">
            <w:pPr>
              <w:spacing w:line="259" w:lineRule="auto"/>
              <w:rPr>
                <w:rFonts w:ascii="Times New Roman" w:hAnsi="Times New Roman" w:cs="Times New Roman"/>
                <w:b/>
                <w:bCs/>
                <w:sz w:val="24"/>
              </w:rPr>
            </w:pPr>
            <w:r>
              <w:rPr>
                <w:rFonts w:ascii="Times New Roman" w:hAnsi="Times New Roman"/>
                <w:b/>
                <w:sz w:val="24"/>
              </w:rPr>
              <w:t>Ryzyko związane z CVA – w tym metoda podstawowa (F-BA i R-BA)</w:t>
            </w:r>
          </w:p>
          <w:p w14:paraId="08A9D4FC" w14:textId="371DF839" w:rsidR="5E3E7C8C" w:rsidRPr="00232C88" w:rsidRDefault="5E3E7C8C" w:rsidP="00254EDB">
            <w:pPr>
              <w:spacing w:before="60" w:after="120" w:line="259" w:lineRule="auto"/>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art. 384 rozporządzenia (UE) nr 575/2013.</w:t>
            </w:r>
          </w:p>
        </w:tc>
      </w:tr>
      <w:tr w:rsidR="00232C88" w:rsidRPr="00232C88" w14:paraId="2C8F98A0" w14:textId="77777777" w:rsidTr="4D769726">
        <w:trPr>
          <w:trHeight w:val="557"/>
        </w:trPr>
        <w:tc>
          <w:tcPr>
            <w:tcW w:w="1384" w:type="dxa"/>
          </w:tcPr>
          <w:p w14:paraId="763506ED" w14:textId="63E42586" w:rsidR="6B84787B" w:rsidRPr="00232C88" w:rsidRDefault="6B84787B" w:rsidP="00254EDB">
            <w:pPr>
              <w:pStyle w:val="Applicationdirecte"/>
              <w:spacing w:before="60" w:line="259" w:lineRule="auto"/>
              <w:jc w:val="center"/>
            </w:pPr>
            <w:r>
              <w:t>EU 10c</w:t>
            </w:r>
          </w:p>
        </w:tc>
        <w:tc>
          <w:tcPr>
            <w:tcW w:w="7655" w:type="dxa"/>
          </w:tcPr>
          <w:p w14:paraId="1606F92D" w14:textId="3DD380FC" w:rsidR="3812DD51" w:rsidRPr="00232C88" w:rsidRDefault="3812DD51" w:rsidP="00254EDB">
            <w:pPr>
              <w:spacing w:line="259" w:lineRule="auto"/>
              <w:rPr>
                <w:rFonts w:ascii="Times New Roman" w:hAnsi="Times New Roman" w:cs="Times New Roman"/>
                <w:b/>
                <w:bCs/>
                <w:sz w:val="24"/>
              </w:rPr>
            </w:pPr>
            <w:r>
              <w:rPr>
                <w:rFonts w:ascii="Times New Roman" w:hAnsi="Times New Roman"/>
                <w:b/>
                <w:sz w:val="24"/>
              </w:rPr>
              <w:t>Ryzyko związane z CVA – w tym metoda uproszczona</w:t>
            </w:r>
          </w:p>
          <w:p w14:paraId="07A5F206" w14:textId="5A791739" w:rsidR="27833950" w:rsidRPr="00232C88" w:rsidRDefault="27833950" w:rsidP="00254EDB">
            <w:pPr>
              <w:spacing w:before="60" w:after="120" w:line="259" w:lineRule="auto"/>
              <w:jc w:val="both"/>
              <w:rPr>
                <w:rFonts w:ascii="Times New Roman" w:hAnsi="Times New Roman" w:cs="Times New Roman"/>
                <w:sz w:val="24"/>
              </w:rPr>
            </w:pPr>
            <w:r>
              <w:rPr>
                <w:rFonts w:ascii="Times New Roman" w:hAnsi="Times New Roman"/>
                <w:sz w:val="24"/>
              </w:rPr>
              <w:lastRenderedPageBreak/>
              <w:t>Kwoty ekspozycji ważonych ryzykiem i wymogi w zakresie funduszy własnych obliczane zgodnie z art. 385 rozporządzenia (UE) nr 575/2013.</w:t>
            </w:r>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lastRenderedPageBreak/>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Pr>
                <w:rFonts w:ascii="Times New Roman" w:hAnsi="Times New Roman"/>
              </w:rPr>
              <w:t>Nie dotyczy</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Pr>
                <w:rFonts w:ascii="Times New Roman" w:hAnsi="Times New Roman"/>
              </w:rPr>
              <w:t>Nie dotyczy</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Nie dotyczy</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Pr>
                <w:rFonts w:ascii="Times New Roman" w:hAnsi="Times New Roman"/>
              </w:rPr>
              <w:t>Nie dotyczy</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t>15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Ryzyko rozliczenia </w:t>
            </w:r>
          </w:p>
          <w:p w14:paraId="5BD4C7C7" w14:textId="245CE380" w:rsidR="00FA1376" w:rsidRPr="00232C88" w:rsidRDefault="76C231EB" w:rsidP="7A5B4152">
            <w:pPr>
              <w:spacing w:before="60" w:after="120"/>
              <w:jc w:val="both"/>
              <w:rPr>
                <w:rFonts w:ascii="Times New Roman" w:hAnsi="Times New Roman" w:cs="Times New Roman"/>
                <w:sz w:val="24"/>
              </w:rPr>
            </w:pPr>
            <w:r>
              <w:rPr>
                <w:rFonts w:ascii="Times New Roman" w:hAnsi="Times New Roman"/>
                <w:sz w:val="24"/>
              </w:rPr>
              <w:t xml:space="preserve"> Kwoty ekspozycji ważonych ryzykiem i wymogi w zakresie funduszy własnych z tytułu ryzyka rozliczenia/dostawy obliczane zgodnie z art. 378 rozporządzenia (UE) nr 575/2013.</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t>16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Ekspozycje sekurytyzacyjne w portfelu bankowym (po uwzględnieniu ograniczenia)</w:t>
            </w:r>
          </w:p>
          <w:p w14:paraId="3127F872" w14:textId="727CB966" w:rsidR="00FA1376" w:rsidRPr="00232C88" w:rsidRDefault="009A4635" w:rsidP="4D769726">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częścią trzecią tytuł II rozdział 5 rozporządzenia (UE) nr 575/2013.</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t>17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Sekurytyzacja – w tym metoda SEC-IRBA </w:t>
            </w:r>
          </w:p>
          <w:p w14:paraId="48D3D12E" w14:textId="321099B2" w:rsidR="00FA1376" w:rsidRPr="00232C88" w:rsidRDefault="009A4635" w:rsidP="0097538A">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metodą regulacyjną SEC-IRBA stosowaną zgodnie z hierarchią metod określoną w art. 254 rozporządzenia (UE) nr 575/2013.</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Pr>
                <w:rFonts w:ascii="Times New Roman" w:hAnsi="Times New Roman"/>
                <w:b/>
                <w:sz w:val="24"/>
              </w:rPr>
              <w:t>Sekurytyzacja – w tym metoda SEC-ERBA (uwzględniając metodę wewnętrznych oszacowań)</w:t>
            </w:r>
          </w:p>
          <w:p w14:paraId="081795BE" w14:textId="41E5125D" w:rsidR="004D588F" w:rsidRPr="00232C88" w:rsidRDefault="004D588F" w:rsidP="0077689B">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metodą regulacyjną SEC-ERBA (uwzględniając metodę wewnętrznych oszacowań) stosowaną zgodnie z hierarchią metod określoną w art. 254 rozporządzenia (UE) nr 575/2013.</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t>19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 xml:space="preserve">Sekurytyzacja – w tym metoda SEC-SA </w:t>
            </w:r>
          </w:p>
          <w:p w14:paraId="70F39EBB" w14:textId="0BFE4551"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metodą regulacyjną SEC-SA stosowaną zgodnie z hierarchią metod określoną w art. 254 rozporządzenia (UE) nr 575/2013.</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Sekurytyzacja – w tym waga ryzyka równa 1 250 % / odliczenie</w:t>
            </w:r>
          </w:p>
          <w:p w14:paraId="7E6CD2F2" w14:textId="35E17A23" w:rsidR="00FA1376" w:rsidRPr="00232C88" w:rsidRDefault="009A4635" w:rsidP="0077689B">
            <w:pPr>
              <w:spacing w:before="60" w:after="120"/>
              <w:jc w:val="both"/>
              <w:rPr>
                <w:rFonts w:ascii="Times New Roman" w:hAnsi="Times New Roman" w:cs="Times New Roman"/>
                <w:sz w:val="24"/>
              </w:rPr>
            </w:pPr>
            <w:r>
              <w:rPr>
                <w:rFonts w:ascii="Times New Roman" w:hAnsi="Times New Roman"/>
                <w:sz w:val="24"/>
              </w:rPr>
              <w:t xml:space="preserve">Kwoty ekspozycji ważonych ryzykiem i wymogi w zakresie funduszy własnych z tytułu ekspozycji sekurytyzacyjnych w portfelu bankowym z zastosowaniem wagi ryzyka równej 1 250 % lub odliczenia od funduszy </w:t>
            </w:r>
            <w:r>
              <w:rPr>
                <w:rFonts w:ascii="Times New Roman" w:hAnsi="Times New Roman"/>
                <w:sz w:val="24"/>
              </w:rPr>
              <w:lastRenderedPageBreak/>
              <w:t>własnych zgodnie z częścią trzecią tytuł II rozdział 5 rozporządzenia (UE) nr 575/2013.</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lastRenderedPageBreak/>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Pr>
                <w:rFonts w:ascii="Times New Roman" w:hAnsi="Times New Roman"/>
                <w:b/>
                <w:sz w:val="24"/>
              </w:rPr>
              <w:t>Ryzyko pozycji, ryzyko walutowe i ryzyko cen towarów (ryzyko rynkowe)</w:t>
            </w:r>
          </w:p>
          <w:p w14:paraId="1D8E5705" w14:textId="261762C3" w:rsidR="001F53F8" w:rsidRPr="00232C88" w:rsidRDefault="004D588F" w:rsidP="4D769726">
            <w:pPr>
              <w:spacing w:before="60" w:after="120"/>
              <w:jc w:val="both"/>
              <w:rPr>
                <w:rFonts w:ascii="Times New Roman" w:hAnsi="Times New Roman" w:cs="Times New Roman"/>
                <w:sz w:val="24"/>
              </w:rPr>
            </w:pPr>
            <w:r>
              <w:rPr>
                <w:rFonts w:ascii="Times New Roman" w:hAnsi="Times New Roman"/>
                <w:sz w:val="24"/>
              </w:rPr>
              <w:t xml:space="preserve">Kwoty ekspozycji ważonych ryzykiem i wymogi w zakresie funduszy własnych obliczane zgodnie z częścią trzecią tytuł IV rozporządzenia (UE) nr 575/2013.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t>21</w:t>
            </w:r>
          </w:p>
        </w:tc>
        <w:tc>
          <w:tcPr>
            <w:tcW w:w="7655" w:type="dxa"/>
            <w:shd w:val="clear" w:color="auto" w:fill="auto"/>
          </w:tcPr>
          <w:p w14:paraId="094F283E" w14:textId="6A34A8B5"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Ryzyko rynkowe – w tym alternatywna metoda standardowa (A-SA)</w:t>
            </w:r>
          </w:p>
          <w:p w14:paraId="2B391B37" w14:textId="27D482BC" w:rsidR="004D588F" w:rsidRPr="00232C88" w:rsidRDefault="004D588F" w:rsidP="233ACBB4">
            <w:pPr>
              <w:spacing w:before="60" w:after="120"/>
              <w:jc w:val="both"/>
              <w:rPr>
                <w:rFonts w:ascii="Times New Roman" w:hAnsi="Times New Roman" w:cs="Times New Roman"/>
                <w:sz w:val="24"/>
              </w:rPr>
            </w:pPr>
          </w:p>
          <w:p w14:paraId="25FE8E42" w14:textId="0F3ACDAD" w:rsidR="004D588F" w:rsidRPr="00232C88" w:rsidRDefault="65F46E0C" w:rsidP="7A5B4152">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częścią trzecią tytuł IV rozdział 1a rozporządzenia (UE) nr 575/2013.</w:t>
            </w:r>
          </w:p>
          <w:p w14:paraId="3CC79283" w14:textId="7D88AFDB" w:rsidR="001F53F8" w:rsidRPr="00232C88" w:rsidRDefault="001F53F8" w:rsidP="7A5B4152">
            <w:pPr>
              <w:spacing w:before="60" w:after="120"/>
              <w:jc w:val="both"/>
              <w:rPr>
                <w:rFonts w:ascii="Times New Roman" w:hAnsi="Times New Roman" w:cs="Times New Roman"/>
                <w:sz w:val="24"/>
              </w:rPr>
            </w:pPr>
            <w:r>
              <w:rPr>
                <w:rFonts w:ascii="Times New Roman" w:hAnsi="Times New Roman"/>
                <w:sz w:val="24"/>
              </w:rPr>
              <w:t xml:space="preserve">Do dnia rozpoczęcia stosowania metod alternatywnych określonych w części trzeciej tytuł IV rozdziały 1a i 1b rozporządzenia (UE) nr 575/2013 do celów faktycznego obliczania wymogów w zakresie funduszy własnych, o których mowa w art. 92 ust. 4 lit. b) pkt (i), art. 92 ust. 4 lit. c) oraz art. 92 ust. 5 lit. b) i c) tego rozporządzenia, wiersz ten nie ma zastosowania. </w:t>
            </w:r>
          </w:p>
        </w:tc>
      </w:tr>
      <w:tr w:rsidR="00232C88" w:rsidRPr="00232C88" w14:paraId="403B156C" w14:textId="77777777" w:rsidTr="233ACBB4">
        <w:trPr>
          <w:trHeight w:val="557"/>
        </w:trPr>
        <w:tc>
          <w:tcPr>
            <w:tcW w:w="1384" w:type="dxa"/>
          </w:tcPr>
          <w:p w14:paraId="7E3A811B" w14:textId="5AA202B4" w:rsidR="7CB62396" w:rsidRPr="00232C88" w:rsidRDefault="7CB62396" w:rsidP="00AD7048">
            <w:pPr>
              <w:pStyle w:val="Applicationdirecte"/>
              <w:jc w:val="center"/>
            </w:pPr>
            <w:r>
              <w:t>EU 21a</w:t>
            </w:r>
          </w:p>
        </w:tc>
        <w:tc>
          <w:tcPr>
            <w:tcW w:w="7655" w:type="dxa"/>
          </w:tcPr>
          <w:p w14:paraId="511B7362" w14:textId="68D54C08" w:rsidR="7CB62396" w:rsidRPr="00232C88" w:rsidRDefault="7CB62396" w:rsidP="233ACBB4">
            <w:pPr>
              <w:jc w:val="both"/>
              <w:rPr>
                <w:rFonts w:ascii="Times New Roman" w:hAnsi="Times New Roman" w:cs="Times New Roman"/>
                <w:b/>
                <w:bCs/>
                <w:sz w:val="24"/>
              </w:rPr>
            </w:pPr>
            <w:r>
              <w:rPr>
                <w:rFonts w:ascii="Times New Roman" w:hAnsi="Times New Roman"/>
                <w:b/>
                <w:sz w:val="24"/>
              </w:rPr>
              <w:t>Ryzyko rynkowe – w tym uproszczona metoda standardowa (S-SA)</w:t>
            </w:r>
          </w:p>
          <w:p w14:paraId="405FFF8B" w14:textId="77777777" w:rsidR="7CB62396" w:rsidRPr="00232C88" w:rsidRDefault="7CB62396" w:rsidP="233ACBB4">
            <w:pPr>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art. 325a rozporządzenia (UE) nr 575/2013.</w:t>
            </w:r>
          </w:p>
          <w:p w14:paraId="65A060B1" w14:textId="77777777" w:rsidR="001F53F8" w:rsidRPr="00232C88" w:rsidRDefault="001F53F8" w:rsidP="233ACBB4">
            <w:pPr>
              <w:jc w:val="both"/>
              <w:rP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r>
              <w:rPr>
                <w:rFonts w:ascii="Times New Roman" w:hAnsi="Times New Roman"/>
                <w:sz w:val="24"/>
              </w:rPr>
              <w:t xml:space="preserve">Do dnia rozpoczęcia stosowania metod alternatywnych określonych w części trzeciej tytuł IV rozdziały 1a i 1b rozporządzenia (UE) nr 575/2013 do celów faktycznego obliczania wymogów w zakresie funduszy własnych, o których mowa w art. 92 ust. 4 lit. b) pkt (i), art. 92 ust. 4 lit. c) oraz art. 92 ust. 5 lit. b) i c) tego rozporządzenia, wiersz ten nie ma zastosowania. </w:t>
            </w:r>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t>22</w:t>
            </w:r>
          </w:p>
        </w:tc>
        <w:tc>
          <w:tcPr>
            <w:tcW w:w="7655" w:type="dxa"/>
          </w:tcPr>
          <w:p w14:paraId="7F8B2B75" w14:textId="1EA83C77" w:rsidR="004D588F" w:rsidRPr="00232C88" w:rsidRDefault="48604EBF" w:rsidP="7A5B4152">
            <w:pPr>
              <w:spacing w:before="60" w:after="120"/>
              <w:jc w:val="both"/>
              <w:rPr>
                <w:rFonts w:ascii="Times New Roman" w:hAnsi="Times New Roman" w:cs="Times New Roman"/>
                <w:b/>
                <w:bCs/>
                <w:sz w:val="24"/>
              </w:rPr>
            </w:pPr>
            <w:r>
              <w:rPr>
                <w:rFonts w:ascii="Times New Roman" w:hAnsi="Times New Roman"/>
                <w:b/>
                <w:sz w:val="24"/>
              </w:rPr>
              <w:t>Ryzyko rynkowe – w tym alternatywna metoda modeli wewnętrznych (A-IMA)</w:t>
            </w:r>
          </w:p>
          <w:p w14:paraId="115A7DEC" w14:textId="013907BE" w:rsidR="004D588F" w:rsidRPr="00232C88" w:rsidRDefault="48604EBF" w:rsidP="4D769726">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częścią trzecią tytuł IV rozdział 1b rozporządzenia (UE) nr 575/2013.</w:t>
            </w:r>
          </w:p>
          <w:p w14:paraId="190F3353" w14:textId="2AF57C1F" w:rsidR="001F53F8" w:rsidRPr="00232C88" w:rsidRDefault="001F53F8" w:rsidP="4D769726">
            <w:pPr>
              <w:spacing w:before="60" w:after="120"/>
              <w:jc w:val="both"/>
              <w:rPr>
                <w:rFonts w:ascii="Times New Roman" w:hAnsi="Times New Roman" w:cs="Times New Roman"/>
                <w:sz w:val="24"/>
              </w:rPr>
            </w:pPr>
            <w:r>
              <w:rPr>
                <w:rFonts w:ascii="Times New Roman" w:hAnsi="Times New Roman"/>
                <w:sz w:val="24"/>
              </w:rPr>
              <w:t xml:space="preserve">Do dnia rozpoczęcia stosowania metod alternatywnych określonych w części trzeciej tytuł IV rozdziały 1a i 1b rozporządzenia (UE) nr 575/2013 do celów faktycznego obliczania wymogów w zakresie funduszy własnych, o których mowa w art. 92 ust. 4 lit. b) pkt (i), art. 92 ust. 4 lit. c) oraz art. 92 ust. 5 lit. b) i c) tego rozporządzenia, wiersz ten nie ma zastosowania. </w:t>
            </w:r>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Duże ekspozycje</w:t>
            </w:r>
          </w:p>
          <w:p w14:paraId="01CE52D0" w14:textId="03EAAB4A" w:rsidR="00FA1376" w:rsidRPr="00232C88" w:rsidRDefault="43EB62D7" w:rsidP="7A5B4152">
            <w:pPr>
              <w:spacing w:before="60" w:after="120"/>
              <w:jc w:val="both"/>
              <w:rPr>
                <w:rFonts w:ascii="Times New Roman" w:hAnsi="Times New Roman" w:cs="Times New Roman"/>
                <w:sz w:val="24"/>
              </w:rPr>
            </w:pPr>
            <w:r>
              <w:rPr>
                <w:rFonts w:ascii="Times New Roman" w:hAnsi="Times New Roman"/>
                <w:sz w:val="24"/>
              </w:rPr>
              <w:t>Kwoty ekspozycji ważonych ryzykiem i wymogi w zakresie funduszy własnych obliczane zgodnie z art. 92 ust. 4 lit. b) pkt (ii) rozporządzenia (UE) nr 575/2013.</w:t>
            </w:r>
          </w:p>
        </w:tc>
      </w:tr>
      <w:tr w:rsidR="00232C88" w:rsidRPr="00232C88" w14:paraId="7755F368" w14:textId="77777777" w:rsidTr="4D769726">
        <w:trPr>
          <w:trHeight w:val="557"/>
        </w:trPr>
        <w:tc>
          <w:tcPr>
            <w:tcW w:w="1384" w:type="dxa"/>
          </w:tcPr>
          <w:p w14:paraId="4869443B" w14:textId="0E73FF9F" w:rsidR="0BEB4DB1" w:rsidRPr="00232C88" w:rsidRDefault="0BEB4DB1" w:rsidP="00254EDB">
            <w:pPr>
              <w:pStyle w:val="Applicationdirecte"/>
              <w:spacing w:before="60" w:line="259" w:lineRule="auto"/>
              <w:jc w:val="center"/>
            </w:pPr>
            <w:r>
              <w:t>23</w:t>
            </w:r>
          </w:p>
        </w:tc>
        <w:tc>
          <w:tcPr>
            <w:tcW w:w="7655" w:type="dxa"/>
          </w:tcPr>
          <w:p w14:paraId="3A8A51A2" w14:textId="77777777" w:rsidR="008D0CBA" w:rsidRDefault="00886EA4" w:rsidP="00310C93">
            <w:pPr>
              <w:spacing w:before="60" w:after="120"/>
              <w:jc w:val="both"/>
              <w:rPr>
                <w:rFonts w:ascii="Times New Roman" w:hAnsi="Times New Roman" w:cs="Times New Roman"/>
                <w:b/>
                <w:sz w:val="24"/>
              </w:rPr>
            </w:pPr>
            <w:r>
              <w:rPr>
                <w:rFonts w:ascii="Times New Roman" w:hAnsi="Times New Roman"/>
                <w:b/>
                <w:sz w:val="24"/>
              </w:rPr>
              <w:t xml:space="preserve"> Przeklasyfikowania między portfelem handlowym i bankowym </w:t>
            </w:r>
          </w:p>
          <w:p w14:paraId="37B20D25" w14:textId="4A79B7BB" w:rsidR="7A5B4152" w:rsidRPr="00232C88" w:rsidRDefault="00310C93" w:rsidP="00310C93">
            <w:pPr>
              <w:spacing w:before="60" w:after="120"/>
              <w:jc w:val="both"/>
              <w:rPr>
                <w:rFonts w:ascii="Times New Roman" w:hAnsi="Times New Roman" w:cs="Times New Roman"/>
                <w:bCs/>
                <w:sz w:val="24"/>
              </w:rPr>
            </w:pPr>
            <w:r>
              <w:rPr>
                <w:rFonts w:ascii="Times New Roman" w:hAnsi="Times New Roman"/>
                <w:sz w:val="24"/>
              </w:rPr>
              <w:lastRenderedPageBreak/>
              <w:t>Kwoty ekspozycji ważonych ryzykiem i wymogi w zakresie funduszy własnych obliczane zgodnie z art. 104a ust. 3, 4 i 6 rozporządzenia (UE) nr 575/2013.</w:t>
            </w:r>
          </w:p>
        </w:tc>
      </w:tr>
      <w:tr w:rsidR="00232C88" w:rsidRPr="00232C88" w14:paraId="4F084615" w14:textId="77777777" w:rsidTr="4D769726">
        <w:trPr>
          <w:trHeight w:val="557"/>
        </w:trPr>
        <w:tc>
          <w:tcPr>
            <w:tcW w:w="1384" w:type="dxa"/>
          </w:tcPr>
          <w:p w14:paraId="688F7715" w14:textId="7983AB02" w:rsidR="004D588F" w:rsidRPr="00232C88" w:rsidRDefault="48604EBF" w:rsidP="004D588F">
            <w:pPr>
              <w:pStyle w:val="Applicationdirecte"/>
              <w:spacing w:before="60"/>
              <w:jc w:val="center"/>
            </w:pPr>
            <w:r>
              <w:lastRenderedPageBreak/>
              <w:t>24</w:t>
            </w:r>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Pr>
                <w:rFonts w:ascii="Times New Roman" w:hAnsi="Times New Roman"/>
                <w:b/>
                <w:sz w:val="24"/>
              </w:rPr>
              <w:t xml:space="preserve">Ryzyko operacyjne </w:t>
            </w:r>
          </w:p>
          <w:p w14:paraId="1D9DEFE1" w14:textId="5CB9F040" w:rsidR="004D588F" w:rsidRPr="00232C88" w:rsidRDefault="1346BE8D" w:rsidP="4D769726">
            <w:pPr>
              <w:spacing w:before="60" w:after="120"/>
              <w:jc w:val="both"/>
              <w:rPr>
                <w:rFonts w:ascii="Times New Roman" w:hAnsi="Times New Roman" w:cs="Times New Roman"/>
                <w:i/>
                <w:iCs/>
                <w:sz w:val="24"/>
              </w:rPr>
            </w:pPr>
            <w:r>
              <w:rPr>
                <w:rFonts w:ascii="Times New Roman" w:hAnsi="Times New Roman"/>
                <w:sz w:val="24"/>
              </w:rPr>
              <w:t xml:space="preserve"> Kwoty ekspozycji ważonych ryzykiem i wymogi w zakresie funduszy własnych obliczane zgodnie z częścią trzecią tytuł III rozporządzenia (UE) nr 575/2013.</w:t>
            </w:r>
          </w:p>
        </w:tc>
      </w:tr>
      <w:tr w:rsidR="00232C88" w:rsidRPr="00232C88" w14:paraId="19C94D76" w14:textId="77777777" w:rsidTr="4D769726">
        <w:trPr>
          <w:trHeight w:val="557"/>
        </w:trPr>
        <w:tc>
          <w:tcPr>
            <w:tcW w:w="1384" w:type="dxa"/>
          </w:tcPr>
          <w:p w14:paraId="0A5E81F6" w14:textId="1552A1E9" w:rsidR="00797C68" w:rsidRPr="00232C88" w:rsidRDefault="00797C68" w:rsidP="001C2D18">
            <w:pPr>
              <w:pStyle w:val="Applicationdirecte"/>
              <w:spacing w:before="60"/>
              <w:jc w:val="center"/>
            </w:pPr>
            <w:r>
              <w:t>EU 24a</w:t>
            </w:r>
          </w:p>
        </w:tc>
        <w:tc>
          <w:tcPr>
            <w:tcW w:w="7655" w:type="dxa"/>
          </w:tcPr>
          <w:p w14:paraId="13B64018" w14:textId="77777777" w:rsidR="00797C68" w:rsidRPr="00232C88" w:rsidRDefault="00797C68" w:rsidP="001C2D18">
            <w:pPr>
              <w:spacing w:before="60" w:after="120"/>
              <w:jc w:val="both"/>
              <w:rPr>
                <w:rFonts w:ascii="Times New Roman" w:hAnsi="Times New Roman" w:cs="Times New Roman"/>
                <w:b/>
                <w:sz w:val="24"/>
              </w:rPr>
            </w:pPr>
            <w:r>
              <w:rPr>
                <w:rFonts w:ascii="Times New Roman" w:hAnsi="Times New Roman"/>
                <w:b/>
                <w:sz w:val="24"/>
              </w:rPr>
              <w:t xml:space="preserve">Ekspozycje na kryptoaktywa </w:t>
            </w:r>
          </w:p>
          <w:p w14:paraId="66AC7A81" w14:textId="4CE1C0D1" w:rsidR="00797C68" w:rsidRPr="00232C88" w:rsidRDefault="00797C68" w:rsidP="001C2D18">
            <w:pPr>
              <w:spacing w:before="60" w:after="120"/>
              <w:jc w:val="both"/>
              <w:rPr>
                <w:rFonts w:ascii="Times New Roman" w:hAnsi="Times New Roman" w:cs="Times New Roman"/>
                <w:bCs/>
                <w:sz w:val="24"/>
              </w:rPr>
            </w:pPr>
            <w:r>
              <w:rPr>
                <w:rFonts w:ascii="Times New Roman" w:hAnsi="Times New Roman"/>
                <w:sz w:val="24"/>
              </w:rPr>
              <w:t>Kwoty ekspozycji ważonych ryzykiem i wymogi w zakresie funduszy własnych obliczane zgodnie z przejściowym traktowaniem ostrożnościowym, o którym mowa w art. 501d ust. 2 rozporządzenia (UE) nr 575/2013.</w:t>
            </w:r>
          </w:p>
        </w:tc>
      </w:tr>
      <w:tr w:rsidR="00232C88" w:rsidRPr="00232C88" w14:paraId="76248997" w14:textId="77777777" w:rsidTr="4D769726">
        <w:trPr>
          <w:trHeight w:val="557"/>
        </w:trPr>
        <w:tc>
          <w:tcPr>
            <w:tcW w:w="1384" w:type="dxa"/>
          </w:tcPr>
          <w:p w14:paraId="0E30EA32" w14:textId="31260842" w:rsidR="00355D90" w:rsidRPr="00232C88" w:rsidRDefault="69048C70" w:rsidP="001C2D18">
            <w:pPr>
              <w:pStyle w:val="Applicationdirecte"/>
              <w:spacing w:before="60"/>
              <w:jc w:val="center"/>
            </w:pPr>
            <w:r>
              <w:t xml:space="preserve"> 25</w:t>
            </w:r>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Pr>
                <w:rFonts w:ascii="Times New Roman" w:hAnsi="Times New Roman"/>
                <w:b/>
                <w:sz w:val="24"/>
              </w:rPr>
              <w:t xml:space="preserve">Kwoty poniżej progów odliczeń (podlegające wadze ryzyka równej 250 %) </w:t>
            </w:r>
          </w:p>
          <w:p w14:paraId="2A67FBCB" w14:textId="71D73BE9" w:rsidR="00355D90" w:rsidRPr="00232C88" w:rsidRDefault="00355D90" w:rsidP="001C2D18">
            <w:pPr>
              <w:spacing w:before="60" w:after="120"/>
              <w:jc w:val="both"/>
              <w:rPr>
                <w:rFonts w:ascii="Times New Roman" w:hAnsi="Times New Roman" w:cs="Times New Roman"/>
                <w:sz w:val="24"/>
              </w:rPr>
            </w:pPr>
            <w:r>
              <w:rPr>
                <w:rFonts w:ascii="Times New Roman" w:hAnsi="Times New Roman"/>
                <w:sz w:val="24"/>
              </w:rPr>
              <w:t>Kwota ta odpowiada sumie kwot pozycji podlegających stosowaniu wagi ryzyka równej 250 %, o których mowa w art. 48 ust. 4 rozporządzenia (UE) nr 575/2013, po zastosowaniu wagi ryzyka równej 250 %. Kwoty te obejmują:</w:t>
            </w:r>
          </w:p>
          <w:p w14:paraId="7233691E" w14:textId="63D2831D" w:rsidR="00355D90" w:rsidRPr="00232C88" w:rsidRDefault="00355D90" w:rsidP="00E70D84">
            <w:pPr>
              <w:pStyle w:val="ListParagraph"/>
              <w:numPr>
                <w:ilvl w:val="0"/>
                <w:numId w:val="16"/>
              </w:numPr>
              <w:spacing w:before="60" w:after="120"/>
              <w:jc w:val="both"/>
              <w:rPr>
                <w:rFonts w:ascii="Times New Roman" w:hAnsi="Times New Roman"/>
                <w:sz w:val="24"/>
              </w:rPr>
            </w:pPr>
            <w:r>
              <w:rPr>
                <w:rFonts w:ascii="Times New Roman" w:hAnsi="Times New Roman"/>
                <w:sz w:val="24"/>
              </w:rPr>
              <w:t>aktywa z tytułu odroczonego podatku dochodowego oparte na przyszłej rentowności i wynikające z różnic przejściowych, których łączna wartość wynosi co najwyżej 10 % wartości pozycji kapitału podstawowego Tier I instytucji obliczonej zgodnie z art. 48 ust. 1 lit. a) rozporządzenia (UE) nr 575/2013;</w:t>
            </w:r>
          </w:p>
          <w:p w14:paraId="3954A3F4" w14:textId="09EAE9D4" w:rsidR="00355D90" w:rsidRPr="009260D6" w:rsidRDefault="00355D90" w:rsidP="000A2CE0">
            <w:pPr>
              <w:pStyle w:val="ListParagraph"/>
              <w:numPr>
                <w:ilvl w:val="0"/>
                <w:numId w:val="16"/>
              </w:numPr>
              <w:spacing w:before="60" w:after="120"/>
              <w:jc w:val="both"/>
              <w:rPr>
                <w:rFonts w:ascii="Times New Roman" w:hAnsi="Times New Roman"/>
                <w:sz w:val="24"/>
              </w:rPr>
            </w:pPr>
            <w:r>
              <w:rPr>
                <w:rFonts w:ascii="Times New Roman" w:hAnsi="Times New Roman"/>
                <w:sz w:val="24"/>
              </w:rPr>
              <w:t>znaczne inwestycje w podmiot sektora finansowego, posiadane przez tę instytucję bezpośrednie, pośrednie i syntetyczne udziały kapitałowe w instrumentach w kapitale podstawowym Tier I tych podmiotów, których łączna wartość wynosi co najwyżej 10 % wartości pozycji kapitału podstawowego Tier I instytucji obliczonej zgodnie z art. 48 ust. 1 lit. b) rozporządzenia (UE) nr 575/2013.</w:t>
            </w:r>
          </w:p>
          <w:p w14:paraId="6B4CA360" w14:textId="138451FC" w:rsidR="00355D90" w:rsidRPr="00232C88" w:rsidRDefault="00355D90" w:rsidP="00544FF5">
            <w:pPr>
              <w:spacing w:before="60" w:after="120"/>
              <w:jc w:val="both"/>
              <w:rPr>
                <w:rFonts w:ascii="Times New Roman" w:hAnsi="Times New Roman" w:cs="Times New Roman"/>
                <w:sz w:val="24"/>
              </w:rPr>
            </w:pPr>
            <w:r>
              <w:rPr>
                <w:rFonts w:ascii="Times New Roman" w:hAnsi="Times New Roman"/>
                <w:sz w:val="24"/>
              </w:rPr>
              <w:t>Informacje w tym wierszu ujawnia się wyłącznie w celach informacyjnych, gdyż kwota wskazana w tym miejscu jest uwzględniana również w wierszu 1, w którym instytucje są proszone o ujawnienie informacji na temat ryzyka kredytowego.</w:t>
            </w:r>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t>26</w:t>
            </w:r>
          </w:p>
        </w:tc>
        <w:tc>
          <w:tcPr>
            <w:tcW w:w="7655" w:type="dxa"/>
          </w:tcPr>
          <w:p w14:paraId="1BEF8E20" w14:textId="773DF94B" w:rsidR="00601608" w:rsidRPr="00232C88" w:rsidRDefault="0F81387E" w:rsidP="7A5B4152">
            <w:pPr>
              <w:spacing w:before="60" w:after="120"/>
              <w:jc w:val="both"/>
              <w:rPr>
                <w:rFonts w:ascii="Times New Roman" w:hAnsi="Times New Roman" w:cs="Times New Roman"/>
                <w:b/>
                <w:bCs/>
                <w:sz w:val="24"/>
              </w:rPr>
            </w:pPr>
            <w:r>
              <w:rPr>
                <w:rFonts w:ascii="Times New Roman" w:hAnsi="Times New Roman"/>
                <w:b/>
                <w:sz w:val="24"/>
              </w:rPr>
              <w:t>Zastosowany minimalny próg kapitałowy (%)</w:t>
            </w:r>
          </w:p>
          <w:p w14:paraId="73B26D34" w14:textId="7D1A3BF4" w:rsidR="00601608" w:rsidRPr="00232C88" w:rsidRDefault="157A8E5C" w:rsidP="00254EDB">
            <w:pPr>
              <w:spacing w:before="60"/>
              <w:rPr>
                <w:rFonts w:ascii="Times New Roman" w:hAnsi="Times New Roman" w:cs="Times New Roman"/>
                <w:sz w:val="24"/>
              </w:rPr>
            </w:pPr>
            <w:r>
              <w:rPr>
                <w:rFonts w:ascii="Times New Roman" w:hAnsi="Times New Roman"/>
                <w:sz w:val="24"/>
              </w:rPr>
              <w:t>Minimalny próg kapitałowy, wyrażony jako wartość procentowa, zastosowany przez instytucję w</w:t>
            </w:r>
          </w:p>
          <w:p w14:paraId="0351E143" w14:textId="729E0684" w:rsidR="00601608" w:rsidRPr="00232C88" w:rsidRDefault="157A8E5C" w:rsidP="5C82E46C">
            <w:pPr>
              <w:spacing w:before="60" w:after="120"/>
              <w:jc w:val="both"/>
              <w:rPr>
                <w:rFonts w:ascii="Times New Roman" w:hAnsi="Times New Roman" w:cs="Times New Roman"/>
              </w:rPr>
            </w:pPr>
            <w:r>
              <w:rPr>
                <w:rFonts w:ascii="Times New Roman" w:hAnsi="Times New Roman"/>
                <w:sz w:val="24"/>
              </w:rPr>
              <w:t>obliczeniach wartości korekty dla dolnej granicy w wierszach 27 i 28: współczynnik „x” zgodnie z art. 92 ust. 3 i art. 465 ust. 1 rozporządzenia (UE) nr 575/2013.</w:t>
            </w:r>
          </w:p>
          <w:p w14:paraId="2C4F5B91" w14:textId="6FC0CE3A" w:rsidR="00601608" w:rsidRPr="00232C88" w:rsidRDefault="00D92B8D" w:rsidP="00254EDB">
            <w:pPr>
              <w:spacing w:before="60" w:after="120"/>
              <w:jc w:val="both"/>
              <w:rPr>
                <w:rFonts w:ascii="Times New Roman" w:hAnsi="Times New Roman" w:cs="Times New Roman"/>
                <w:sz w:val="24"/>
              </w:rPr>
            </w:pPr>
            <w:r>
              <w:rPr>
                <w:rFonts w:ascii="Times New Roman" w:hAnsi="Times New Roman"/>
                <w:sz w:val="24"/>
              </w:rPr>
              <w:t>Wiersz ten nie ma zastosowania do instytucji objętych wyłączeniem przewidzianym w art. 92 ust. 3 akapit drugi rozporządzenia (UE) nr 575/2013.</w:t>
            </w:r>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t>27</w:t>
            </w:r>
          </w:p>
        </w:tc>
        <w:tc>
          <w:tcPr>
            <w:tcW w:w="7655" w:type="dxa"/>
          </w:tcPr>
          <w:p w14:paraId="038223EE" w14:textId="6A6326D3" w:rsidR="00601608" w:rsidRPr="00232C88" w:rsidRDefault="4856FF09" w:rsidP="7A5B4152">
            <w:pPr>
              <w:spacing w:before="60" w:after="120"/>
              <w:jc w:val="both"/>
              <w:rPr>
                <w:rFonts w:ascii="Times New Roman" w:hAnsi="Times New Roman" w:cs="Times New Roman"/>
                <w:b/>
                <w:bCs/>
                <w:sz w:val="24"/>
              </w:rPr>
            </w:pPr>
            <w:r>
              <w:rPr>
                <w:rFonts w:ascii="Times New Roman" w:hAnsi="Times New Roman"/>
                <w:b/>
                <w:sz w:val="24"/>
              </w:rPr>
              <w:t>Korekta dla dolnej granicy (przed zastosowaniem przejściowego górnego pułapu)</w:t>
            </w:r>
          </w:p>
          <w:p w14:paraId="771706A8" w14:textId="5435A532" w:rsidR="00601608" w:rsidRPr="00232C88" w:rsidRDefault="00010D29" w:rsidP="7A5B4152">
            <w:pPr>
              <w:spacing w:before="60" w:after="120"/>
              <w:jc w:val="both"/>
              <w:rPr>
                <w:rFonts w:ascii="Times New Roman" w:hAnsi="Times New Roman" w:cs="Times New Roman"/>
                <w:sz w:val="24"/>
              </w:rPr>
            </w:pPr>
            <w:r>
              <w:rPr>
                <w:rFonts w:ascii="Times New Roman" w:hAnsi="Times New Roman"/>
                <w:sz w:val="24"/>
              </w:rPr>
              <w:lastRenderedPageBreak/>
              <w:t>W przypadku instytucji objętych wymogiem minimalnego progu kapitałowego zgodnie z art. 92 ust. 3 lit. a) rozporządzenia (UE) nr 575/2013 – zwiększenie łącznej kwoty ekspozycji na ryzyko, na podstawie minimalnego progu kapitałowego zastosowanego w wierszu 26, bez stosowania przejściowego górnego pułapu określonego w art. 465 ust. 2 rozporządzenia (UE) nr 575/2013.</w:t>
            </w:r>
          </w:p>
          <w:p w14:paraId="38B9BF8A" w14:textId="52B47A9C"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Wiersz ten nie ma zastosowania do instytucji objętych wyłączeniem przewidzianym w art. 92 ust. 3 akapit drugi rozporządzenia (UE) nr 575/2013.</w:t>
            </w:r>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lastRenderedPageBreak/>
              <w:t>28</w:t>
            </w:r>
          </w:p>
        </w:tc>
        <w:tc>
          <w:tcPr>
            <w:tcW w:w="7655" w:type="dxa"/>
          </w:tcPr>
          <w:p w14:paraId="10893528" w14:textId="1056E6F0" w:rsidR="00601608" w:rsidRPr="00232C88" w:rsidRDefault="3853AA5F" w:rsidP="7A5B4152">
            <w:pPr>
              <w:spacing w:before="60" w:after="120"/>
              <w:jc w:val="both"/>
              <w:rPr>
                <w:rFonts w:ascii="Times New Roman" w:hAnsi="Times New Roman" w:cs="Times New Roman"/>
                <w:sz w:val="24"/>
              </w:rPr>
            </w:pPr>
            <w:r>
              <w:rPr>
                <w:rFonts w:ascii="Times New Roman" w:hAnsi="Times New Roman"/>
                <w:b/>
                <w:sz w:val="24"/>
              </w:rPr>
              <w:t>Korekta dla dolnej granicy (po zastosowaniu przejściowego górnego pułapu)</w:t>
            </w:r>
            <w:r>
              <w:rPr>
                <w:rFonts w:ascii="Times New Roman" w:hAnsi="Times New Roman"/>
                <w:sz w:val="24"/>
              </w:rPr>
              <w:t xml:space="preserve"> </w:t>
            </w:r>
          </w:p>
          <w:p w14:paraId="3461108E" w14:textId="499B5D53" w:rsidR="00601608" w:rsidRPr="00232C88" w:rsidRDefault="119238F7" w:rsidP="7A5B4152">
            <w:pPr>
              <w:spacing w:before="60" w:after="120"/>
              <w:jc w:val="both"/>
              <w:rPr>
                <w:rFonts w:ascii="Times New Roman" w:hAnsi="Times New Roman" w:cs="Times New Roman"/>
                <w:sz w:val="24"/>
              </w:rPr>
            </w:pPr>
            <w:r>
              <w:rPr>
                <w:rFonts w:ascii="Times New Roman" w:hAnsi="Times New Roman"/>
                <w:sz w:val="24"/>
              </w:rPr>
              <w:t>W przypadku instytucji objętych wymogiem minimalnego progu kapitałowego zgodnie z art. 92 ust. 3 lit. a) rozporządzenia (UE) nr 575/2013 – zwiększenie łącznej kwoty ekspozycji na ryzyko, na podstawie minimalnego progu kapitałowego zastosowanego w wierszu 26, po zastosowaniu przejściowego górnego pułapu określonego w art. 465 ust. 2 rozporządzenia (UE) nr 575/2013.</w:t>
            </w:r>
          </w:p>
          <w:p w14:paraId="32CACDED" w14:textId="70D0901B" w:rsidR="00D92B8D" w:rsidRPr="00232C88" w:rsidRDefault="00D92B8D" w:rsidP="7A5B4152">
            <w:pPr>
              <w:spacing w:before="60" w:after="120"/>
              <w:jc w:val="both"/>
              <w:rPr>
                <w:rFonts w:ascii="Times New Roman" w:hAnsi="Times New Roman" w:cs="Times New Roman"/>
                <w:sz w:val="24"/>
              </w:rPr>
            </w:pPr>
            <w:r>
              <w:rPr>
                <w:rFonts w:ascii="Times New Roman" w:hAnsi="Times New Roman"/>
                <w:sz w:val="24"/>
              </w:rPr>
              <w:t>Wiersz ten nie ma zastosowania do instytucji objętych wyłączeniem przewidzianym w art. 92 ust. 3 akapit drugi rozporządzenia (UE) nr 575/2013.</w:t>
            </w:r>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t>29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Pr>
                <w:rFonts w:ascii="Times New Roman" w:hAnsi="Times New Roman"/>
                <w:b/>
                <w:sz w:val="24"/>
              </w:rPr>
              <w:t>Ogółem</w:t>
            </w:r>
          </w:p>
          <w:p w14:paraId="4DE2E57F" w14:textId="77777777" w:rsidR="008D0CBA" w:rsidRDefault="00FA1376" w:rsidP="00601608">
            <w:pPr>
              <w:spacing w:before="60" w:after="120"/>
              <w:jc w:val="both"/>
              <w:rPr>
                <w:rFonts w:ascii="Times New Roman" w:hAnsi="Times New Roman" w:cs="Times New Roman"/>
                <w:sz w:val="24"/>
              </w:rPr>
            </w:pPr>
            <w:r>
              <w:rPr>
                <w:rFonts w:ascii="Times New Roman" w:hAnsi="Times New Roman"/>
                <w:sz w:val="24"/>
              </w:rPr>
              <w:t xml:space="preserve">Łączna kwota ekspozycji na ryzyko obliczona zgodnie z art. 92 ust. 3 oraz art. 95, 96 i 98 rozporządzenia (UE) nr 575/2013. </w:t>
            </w:r>
          </w:p>
          <w:p w14:paraId="32B689CA" w14:textId="0C35490F" w:rsidR="00FA1376" w:rsidRPr="00232C88" w:rsidRDefault="00D072CD" w:rsidP="00601608">
            <w:pPr>
              <w:spacing w:before="60" w:after="120"/>
              <w:jc w:val="both"/>
              <w:rPr>
                <w:rFonts w:ascii="Times New Roman" w:hAnsi="Times New Roman" w:cs="Times New Roman"/>
                <w:sz w:val="24"/>
              </w:rPr>
            </w:pPr>
            <w:r>
              <w:rPr>
                <w:rFonts w:ascii="Times New Roman" w:hAnsi="Times New Roman"/>
                <w:sz w:val="24"/>
              </w:rPr>
              <w:t>Wiersz ten jest równy sumie następujących wierszy: 1, 6, 10, 15, 16, 20, EU 22a, 23, 24, EU 24a, 28.</w:t>
            </w:r>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rPr>
      </w:pPr>
      <w:r>
        <w:rPr>
          <w:rFonts w:ascii="Times New Roman" w:hAnsi="Times New Roman"/>
          <w:b/>
          <w:color w:val="auto"/>
          <w:sz w:val="24"/>
        </w:rPr>
        <w:t xml:space="preserve">Wzór EU KM1 – Najważniejsze wskaźniki. </w:t>
      </w:r>
      <w:r>
        <w:rPr>
          <w:rFonts w:ascii="Times New Roman" w:hAnsi="Times New Roman"/>
          <w:color w:val="auto"/>
          <w:sz w:val="24"/>
        </w:rPr>
        <w:t>Format stały.</w:t>
      </w:r>
    </w:p>
    <w:p w14:paraId="3394DDC1" w14:textId="250762C7" w:rsidR="00A919FB" w:rsidRPr="00232C88" w:rsidRDefault="00C41C25" w:rsidP="00254EDB">
      <w:pPr>
        <w:pStyle w:val="Titlelevel2"/>
        <w:numPr>
          <w:ilvl w:val="0"/>
          <w:numId w:val="14"/>
        </w:numPr>
        <w:spacing w:before="120" w:after="120"/>
        <w:jc w:val="both"/>
        <w:rPr>
          <w:rFonts w:ascii="Times New Roman" w:hAnsi="Times New Roman" w:cs="Times New Roman"/>
          <w:b/>
          <w:color w:val="auto"/>
          <w:sz w:val="24"/>
        </w:rPr>
      </w:pPr>
      <w:r>
        <w:rPr>
          <w:rFonts w:ascii="Times New Roman" w:hAnsi="Times New Roman"/>
          <w:color w:val="auto"/>
          <w:sz w:val="24"/>
        </w:rPr>
        <w:t>Instytucje stosują poniższe instrukcje zawarte w niniejszym załączniku w celu wypełnienia wzoru EU KM1 zamieszczonego w załączniku I do rozwiązań informatycznych EUNB w zastosowaniu art. 447 lit. a)–g) rozporządzenia (UE) nr 575/2013 i art. 438 lit. b) rozporządzenia (UE) nr 575/2013.</w:t>
      </w:r>
      <w:r>
        <w:rPr>
          <w:rFonts w:ascii="Times New Roman" w:hAnsi="Times New Roman"/>
          <w:b/>
          <w:color w:val="auto"/>
          <w:sz w:val="24"/>
        </w:rPr>
        <w:t xml:space="preserve"> </w:t>
      </w:r>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Pr>
                <w:rFonts w:ascii="Times New Roman" w:hAnsi="Times New Roman"/>
                <w:b/>
                <w:sz w:val="24"/>
              </w:rPr>
              <w:t>Oznaczenie kolumny</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t>a–e</w:t>
            </w:r>
          </w:p>
        </w:tc>
        <w:tc>
          <w:tcPr>
            <w:tcW w:w="7655" w:type="dxa"/>
            <w:vAlign w:val="center"/>
          </w:tcPr>
          <w:p w14:paraId="01DAA312" w14:textId="53CA3AA7" w:rsidR="00A919FB" w:rsidRPr="00232C88" w:rsidRDefault="00187C4B" w:rsidP="00A919FB">
            <w:pPr>
              <w:spacing w:before="60" w:after="120"/>
              <w:jc w:val="both"/>
              <w:rPr>
                <w:rFonts w:ascii="Times New Roman" w:hAnsi="Times New Roman" w:cs="Times New Roman"/>
                <w:sz w:val="24"/>
              </w:rPr>
            </w:pPr>
            <w:r>
              <w:rPr>
                <w:rFonts w:ascii="Times New Roman" w:hAnsi="Times New Roman"/>
                <w:sz w:val="24"/>
              </w:rPr>
              <w:t>Okresy, za który informacje podlegają ujawnieniu – T, T-1, T-2, T-3 i T-4 – oznaczają okresy kwartalne, w odniesieniu do których wprowadza się dane w zależności od częstotliwości określonej w art. 433, 433a, 433b i 433c rozporządzenia (UE) nr 575/2013.</w:t>
            </w:r>
          </w:p>
          <w:p w14:paraId="3BAEA110" w14:textId="7DE115C7"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 xml:space="preserve">Instytucje, które ujawniają informacje uwzględnione w tym wzorze raz na kwartał, wprowadzają dane za okresy T, T-1, T-2, T-3 i T-4; instytucje, które ujawniają informacje uwzględnione w tym wzorze raz na pół roku, wprowadzają dane za okresy T, T-2 i T-4; a instytucje, które ujawniają </w:t>
            </w:r>
            <w:r>
              <w:rPr>
                <w:rFonts w:ascii="Times New Roman" w:hAnsi="Times New Roman"/>
                <w:sz w:val="24"/>
              </w:rPr>
              <w:lastRenderedPageBreak/>
              <w:t>informacje uwzględnione w tym wzorze raz na rok, wprowadzają dane za okresy T i T-4.</w:t>
            </w:r>
          </w:p>
          <w:p w14:paraId="3565AD25" w14:textId="00DB4F0F" w:rsidR="00A919FB" w:rsidRPr="00232C88" w:rsidRDefault="00A919FB" w:rsidP="00A919FB">
            <w:pPr>
              <w:spacing w:before="60" w:after="120"/>
              <w:jc w:val="both"/>
              <w:rPr>
                <w:rFonts w:ascii="Times New Roman" w:hAnsi="Times New Roman" w:cs="Times New Roman"/>
                <w:sz w:val="24"/>
              </w:rPr>
            </w:pPr>
            <w:r>
              <w:rPr>
                <w:rFonts w:ascii="Times New Roman" w:hAnsi="Times New Roman"/>
                <w:sz w:val="24"/>
              </w:rPr>
              <w:t>Instytucje ujawniają daty odpowiadające okresom, za które informacje podlegają ujawnieniu.</w:t>
            </w:r>
          </w:p>
          <w:p w14:paraId="18B0361E" w14:textId="77777777" w:rsidR="00A919FB" w:rsidRPr="00232C88" w:rsidRDefault="00A919FB" w:rsidP="00C0296F">
            <w:pPr>
              <w:spacing w:before="60" w:after="120"/>
              <w:jc w:val="both"/>
              <w:rPr>
                <w:rFonts w:ascii="Times New Roman" w:hAnsi="Times New Roman" w:cs="Times New Roman"/>
                <w:sz w:val="24"/>
              </w:rPr>
            </w:pPr>
            <w:r>
              <w:rPr>
                <w:rFonts w:ascii="Times New Roman" w:hAnsi="Times New Roman"/>
                <w:sz w:val="24"/>
              </w:rPr>
              <w:t xml:space="preserve">Ujawnienie danych w odniesieniu do poprzednich okresów nie jest wymagane, jeżeli dane ujawnia się po raz pierwszy.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Pr>
                <w:rFonts w:ascii="Times New Roman" w:hAnsi="Times New Roman"/>
                <w:b/>
                <w:sz w:val="24"/>
              </w:rPr>
              <w:lastRenderedPageBreak/>
              <w:t>Odniesienia prawne i instrukcje</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Pr>
                <w:rFonts w:ascii="Times New Roman" w:hAnsi="Times New Roman"/>
                <w:b/>
                <w:sz w:val="24"/>
              </w:rPr>
              <w:t>Oznaczenie wiersza</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Kapitał podstawowy Tier I</w:t>
            </w:r>
          </w:p>
          <w:p w14:paraId="07A96E2A" w14:textId="537329F0" w:rsidR="00EC3DC7" w:rsidRPr="00232C88" w:rsidRDefault="00EC3DC7" w:rsidP="00BD5160">
            <w:pPr>
              <w:spacing w:before="60" w:after="120"/>
              <w:jc w:val="both"/>
              <w:rPr>
                <w:rFonts w:ascii="Times New Roman" w:hAnsi="Times New Roman" w:cs="Times New Roman"/>
                <w:sz w:val="24"/>
              </w:rPr>
            </w:pPr>
            <w:r>
              <w:rPr>
                <w:rFonts w:ascii="Times New Roman" w:hAnsi="Times New Roman"/>
                <w:sz w:val="24"/>
              </w:rPr>
              <w:t>Kwota kapitału podstawowego Tier I to kwota ujawniana przez instytucje w załączniku VII do rozwiązań informatycznych EUNB (wiersz 29 wzoru EU CC1 – Struktura regulacyjnych funduszy własnych).</w:t>
            </w:r>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Pr>
                <w:rFonts w:ascii="Times New Roman" w:hAnsi="Times New Roman"/>
                <w:b/>
                <w:sz w:val="24"/>
              </w:rPr>
              <w:t>Kapitał Tier I</w:t>
            </w:r>
          </w:p>
          <w:p w14:paraId="097E489A" w14:textId="1AD80C12" w:rsidR="00EC3DC7" w:rsidRPr="00232C88" w:rsidRDefault="00EC3DC7" w:rsidP="00605635">
            <w:pPr>
              <w:spacing w:before="60" w:after="120"/>
              <w:jc w:val="both"/>
              <w:rPr>
                <w:rFonts w:ascii="Times New Roman" w:eastAsia="Times New Roman" w:hAnsi="Times New Roman" w:cs="Times New Roman"/>
                <w:sz w:val="24"/>
              </w:rPr>
            </w:pPr>
            <w:r>
              <w:rPr>
                <w:rFonts w:ascii="Times New Roman" w:hAnsi="Times New Roman"/>
                <w:sz w:val="24"/>
              </w:rPr>
              <w:t>Kwota kapitału Tier I to kwota ujawniana przez instytucje w załączniku VII do rozwiązań informatycznych EUNB (wiersz 45 wzoru EU CC1 – Struktura regulacyjnych funduszy własnych).</w:t>
            </w:r>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Pr>
                <w:rFonts w:ascii="Times New Roman" w:hAnsi="Times New Roman"/>
                <w:b/>
                <w:sz w:val="24"/>
              </w:rPr>
              <w:t>Łączny kapitał</w:t>
            </w:r>
          </w:p>
          <w:p w14:paraId="0A93EB9C" w14:textId="0DED50A4"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Kwota łącznego kapitału to kwota ujawniana przez instytucje w załączniku VII do rozwiązań informatycznych EUNB (wiersz 59 wzoru EU CC1 – Struktura regulacyjnych funduszy własnych).</w:t>
            </w:r>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Pr>
                <w:rFonts w:ascii="Times New Roman" w:hAnsi="Times New Roman"/>
                <w:b/>
                <w:sz w:val="24"/>
              </w:rPr>
              <w:t>Łączna kwota ekspozycji na ryzyko</w:t>
            </w:r>
          </w:p>
          <w:p w14:paraId="45F3B0F7" w14:textId="72865B99" w:rsidR="00EC3DC7" w:rsidRPr="00232C88" w:rsidRDefault="00EC3DC7" w:rsidP="00402F34">
            <w:pPr>
              <w:spacing w:before="60" w:after="120"/>
              <w:jc w:val="both"/>
              <w:rPr>
                <w:rFonts w:ascii="Times New Roman" w:hAnsi="Times New Roman" w:cs="Times New Roman"/>
                <w:sz w:val="24"/>
              </w:rPr>
            </w:pPr>
            <w:r>
              <w:rPr>
                <w:rFonts w:ascii="Times New Roman" w:hAnsi="Times New Roman"/>
                <w:sz w:val="24"/>
              </w:rPr>
              <w:t>Łączna kwota ekspozycji na ryzyko to kwota ujawniana przez instytucje w załączniku VII do rozwiązań informatycznych EUNB (wiersz 60 wzoru EU CC1 – Struktura regulacyjnych funduszy własnych).</w:t>
            </w:r>
          </w:p>
        </w:tc>
      </w:tr>
      <w:tr w:rsidR="00232C88" w:rsidRPr="00232C88" w14:paraId="65D7DB43" w14:textId="77777777" w:rsidTr="65F04A31">
        <w:trPr>
          <w:trHeight w:val="557"/>
        </w:trPr>
        <w:tc>
          <w:tcPr>
            <w:tcW w:w="1384" w:type="dxa"/>
          </w:tcPr>
          <w:p w14:paraId="658ACA13" w14:textId="232BF598" w:rsidR="00C77B80" w:rsidRPr="00232C88" w:rsidRDefault="00C77B80" w:rsidP="00EC3DC7">
            <w:pPr>
              <w:pStyle w:val="Applicationdirecte"/>
              <w:spacing w:before="60"/>
              <w:jc w:val="center"/>
            </w:pPr>
            <w:r>
              <w:t>4a</w:t>
            </w:r>
          </w:p>
        </w:tc>
        <w:tc>
          <w:tcPr>
            <w:tcW w:w="7655" w:type="dxa"/>
          </w:tcPr>
          <w:p w14:paraId="0936DD42" w14:textId="45382108" w:rsidR="00C77B80" w:rsidRPr="00232C88" w:rsidRDefault="00C77B80" w:rsidP="00475381">
            <w:pPr>
              <w:spacing w:before="60" w:after="120"/>
              <w:jc w:val="both"/>
              <w:rPr>
                <w:rFonts w:ascii="Times New Roman" w:hAnsi="Times New Roman" w:cs="Times New Roman"/>
                <w:b/>
                <w:sz w:val="24"/>
              </w:rPr>
            </w:pPr>
            <w:r>
              <w:rPr>
                <w:rFonts w:ascii="Times New Roman" w:hAnsi="Times New Roman"/>
                <w:b/>
                <w:sz w:val="24"/>
              </w:rPr>
              <w:t>Łączna kwota ekspozycji na ryzyko przed zastosowaniem minimalnego progu kapitałowego</w:t>
            </w:r>
          </w:p>
          <w:p w14:paraId="5D48E490" w14:textId="041CBAFA"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 xml:space="preserve">W przypadku instytucji objętych wymogiem minimalnego progu kapitałowego zgodnie z art. 92 ust. 3 rozporządzenia (UE) nr 575/2013 – łączna kwota ekspozycji na ryzyko przed zastosowaniem minimalnego progu kapitałowego określona w art. 92 ust. 4 rozporządzenia (UE) nr 575/2013. </w:t>
            </w:r>
          </w:p>
          <w:p w14:paraId="18771BA3" w14:textId="288ABF45" w:rsidR="00C77B80" w:rsidRPr="00232C88" w:rsidRDefault="00C77B80" w:rsidP="00BD5160">
            <w:pPr>
              <w:spacing w:before="60" w:after="120"/>
              <w:jc w:val="both"/>
              <w:rPr>
                <w:rFonts w:ascii="Times New Roman" w:hAnsi="Times New Roman" w:cs="Times New Roman"/>
                <w:sz w:val="24"/>
              </w:rPr>
            </w:pPr>
            <w:r>
              <w:rPr>
                <w:rFonts w:ascii="Times New Roman" w:hAnsi="Times New Roman"/>
                <w:sz w:val="24"/>
              </w:rPr>
              <w:t>W przypadku łącznej kwoty ekspozycji na ryzyko przed zastosowaniem minimalnego progu kapitałowego ujawniana kwota nie powinna obejmować korekt łącznej kwoty ekspozycji na ryzyko w wyniku zastosowania minimalnego progu kapitałowego.</w:t>
            </w:r>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Współczynnik kapitału podstawowego Tier I (%)</w:t>
            </w:r>
          </w:p>
          <w:p w14:paraId="42EC7CCC" w14:textId="2AD941C5"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Współczynnik kapitału podstawowego Tier I to wartość ujawniana przez instytucje w załączniku VII do rozwiązań informatycznych EUNB (wiersz 61 wzoru EU CC1 – Struktura regulacyjnych funduszy własnych).</w:t>
            </w:r>
          </w:p>
        </w:tc>
      </w:tr>
      <w:tr w:rsidR="00232C88" w:rsidRPr="00232C88" w14:paraId="268CA2C6" w14:textId="77777777" w:rsidTr="00B06E31">
        <w:trPr>
          <w:trHeight w:val="557"/>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pPr>
            <w:r>
              <w:lastRenderedPageBreak/>
              <w:t>5a</w:t>
            </w:r>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Nie dotyczy</w:t>
            </w:r>
          </w:p>
        </w:tc>
      </w:tr>
      <w:tr w:rsidR="00232C88" w:rsidRPr="00232C88" w14:paraId="0ED2B537" w14:textId="77777777" w:rsidTr="65F04A31">
        <w:trPr>
          <w:trHeight w:val="557"/>
        </w:trPr>
        <w:tc>
          <w:tcPr>
            <w:tcW w:w="1384" w:type="dxa"/>
          </w:tcPr>
          <w:p w14:paraId="356C5555" w14:textId="4C703E43" w:rsidR="00C77B80" w:rsidRPr="00232C88" w:rsidRDefault="00C77B80" w:rsidP="00EC3DC7">
            <w:pPr>
              <w:pStyle w:val="Applicationdirecte"/>
              <w:spacing w:before="60"/>
              <w:jc w:val="center"/>
            </w:pPr>
            <w:r>
              <w:t>5b</w:t>
            </w:r>
          </w:p>
        </w:tc>
        <w:tc>
          <w:tcPr>
            <w:tcW w:w="7655" w:type="dxa"/>
          </w:tcPr>
          <w:p w14:paraId="74894655" w14:textId="1A88B999" w:rsidR="0082753B" w:rsidRPr="00232C88" w:rsidRDefault="0082753B" w:rsidP="00475381">
            <w:pPr>
              <w:spacing w:before="60" w:after="120"/>
              <w:jc w:val="both"/>
              <w:rPr>
                <w:rFonts w:ascii="Times New Roman" w:hAnsi="Times New Roman" w:cs="Times New Roman"/>
                <w:b/>
                <w:sz w:val="24"/>
              </w:rPr>
            </w:pPr>
            <w:r>
              <w:rPr>
                <w:rFonts w:ascii="Times New Roman" w:hAnsi="Times New Roman"/>
                <w:b/>
                <w:sz w:val="24"/>
              </w:rPr>
              <w:t>Współczynnik kapitału podstawowego Tier I w oparciu o TREA bez uwzględnienia minimalnego progu kapitałowego (%)</w:t>
            </w:r>
          </w:p>
          <w:p w14:paraId="18127CE4" w14:textId="61371E95" w:rsidR="00C77B80" w:rsidRPr="00232C88" w:rsidRDefault="0082753B" w:rsidP="00BD5160">
            <w:pPr>
              <w:spacing w:before="60" w:after="120"/>
              <w:jc w:val="both"/>
              <w:rPr>
                <w:rFonts w:ascii="Times New Roman" w:hAnsi="Times New Roman" w:cs="Times New Roman"/>
                <w:sz w:val="24"/>
              </w:rPr>
            </w:pPr>
            <w:r>
              <w:rPr>
                <w:rFonts w:ascii="Times New Roman" w:hAnsi="Times New Roman"/>
                <w:sz w:val="24"/>
              </w:rPr>
              <w:t>Współczynnik kapitału podstawowego Tier I zdefiniowany w art. 92 ust. 2 lit. a) rozporządzenia (UE) nr 575/2013, wyrażony jako odsetek łącznej kwoty ekspozycji na ryzyko obliczonej przez wyłączenie wpływu minimalnego progu kapitałowego zgodnie z art. 92 ust. 4 rozporządzenia (UE) nr 575/2013.</w:t>
            </w:r>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Pr>
                <w:rFonts w:ascii="Times New Roman" w:hAnsi="Times New Roman"/>
                <w:b/>
                <w:sz w:val="24"/>
              </w:rPr>
              <w:t>Współczynnik kapitału Tier I (%)</w:t>
            </w:r>
          </w:p>
          <w:p w14:paraId="7486F374" w14:textId="0901D9FC"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Współczynnik kapitału Tier I to wartość ujawniana przez instytucje w załączniku VII do rozwiązań informatycznych EUNB (wiersz 62 wzoru EU CC1 – Struktura regulacyjnych funduszy własnych).</w:t>
            </w:r>
          </w:p>
        </w:tc>
      </w:tr>
      <w:tr w:rsidR="00232C88" w:rsidRPr="00232C88" w14:paraId="51663248" w14:textId="77777777" w:rsidTr="00CC6BF2">
        <w:trPr>
          <w:trHeight w:val="557"/>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pPr>
            <w:r>
              <w:t>6a</w:t>
            </w:r>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rFonts w:ascii="Times New Roman" w:hAnsi="Times New Roman" w:cs="Times New Roman"/>
                <w:b/>
                <w:sz w:val="24"/>
              </w:rPr>
            </w:pPr>
            <w:r>
              <w:rPr>
                <w:rFonts w:ascii="Times New Roman" w:hAnsi="Times New Roman"/>
              </w:rPr>
              <w:t>Nie dotyczy</w:t>
            </w:r>
          </w:p>
        </w:tc>
      </w:tr>
      <w:tr w:rsidR="00232C88" w:rsidRPr="00232C88" w14:paraId="65A04AA6" w14:textId="77777777" w:rsidTr="65F04A31">
        <w:trPr>
          <w:trHeight w:val="557"/>
        </w:trPr>
        <w:tc>
          <w:tcPr>
            <w:tcW w:w="1384" w:type="dxa"/>
          </w:tcPr>
          <w:p w14:paraId="693ACA6E" w14:textId="07A6683D" w:rsidR="00C77B80" w:rsidRPr="00232C88" w:rsidRDefault="00C77B80" w:rsidP="00EC3DC7">
            <w:pPr>
              <w:pStyle w:val="Applicationdirecte"/>
              <w:spacing w:before="60"/>
              <w:jc w:val="center"/>
            </w:pPr>
            <w:r>
              <w:t>6b</w:t>
            </w:r>
          </w:p>
        </w:tc>
        <w:tc>
          <w:tcPr>
            <w:tcW w:w="7655" w:type="dxa"/>
          </w:tcPr>
          <w:p w14:paraId="2E9727DE" w14:textId="57531F92" w:rsidR="0082753B" w:rsidRPr="00232C88" w:rsidRDefault="0082753B" w:rsidP="00EC3DC7">
            <w:pPr>
              <w:spacing w:before="60" w:after="120"/>
              <w:jc w:val="both"/>
              <w:rPr>
                <w:rFonts w:ascii="Times New Roman" w:hAnsi="Times New Roman" w:cs="Times New Roman"/>
                <w:b/>
                <w:sz w:val="24"/>
              </w:rPr>
            </w:pPr>
            <w:r>
              <w:rPr>
                <w:rFonts w:ascii="Times New Roman" w:hAnsi="Times New Roman"/>
                <w:b/>
                <w:sz w:val="24"/>
              </w:rPr>
              <w:t>Współczynnik kapitału Tier I w oparciu o TREA bez uwzględnienia minimalnego progu kapitałowego (%)</w:t>
            </w:r>
          </w:p>
          <w:p w14:paraId="0F74D0FB" w14:textId="424C6FBD"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Współczynnik kapitału Tier I zdefiniowany w art. 92 ust. 2 lit. b) rozporządzenia (UE) nr 575/2013, wyrażony jako odsetek łącznej kwoty ekspozycji na ryzyko obliczonej przez wyłączenie wpływu minimalnego progu kapitałowego zgodnie z art. 92 ust. 4 rozporządzenia (UE) nr 575/2013.</w:t>
            </w:r>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Łączny współczynnik kapitałowy (%)</w:t>
            </w:r>
          </w:p>
          <w:p w14:paraId="19C20331" w14:textId="00E3DB52" w:rsidR="00EC3DC7" w:rsidRPr="00232C88" w:rsidRDefault="00EC3DC7" w:rsidP="00605635">
            <w:pPr>
              <w:spacing w:before="60" w:after="120"/>
              <w:jc w:val="both"/>
              <w:rPr>
                <w:rFonts w:ascii="Times New Roman" w:hAnsi="Times New Roman" w:cs="Times New Roman"/>
                <w:sz w:val="24"/>
              </w:rPr>
            </w:pPr>
            <w:r>
              <w:rPr>
                <w:rFonts w:ascii="Times New Roman" w:hAnsi="Times New Roman"/>
                <w:sz w:val="24"/>
              </w:rPr>
              <w:t>Łączny współczynnik kapitałowy to wartość ujawniana przez instytucje w załączniku VII do rozwiązań informatycznych EUNB (wiersz 63 wzoru EU CC1 – Struktura regulacyjnych funduszy własnych).</w:t>
            </w:r>
          </w:p>
        </w:tc>
      </w:tr>
      <w:tr w:rsidR="00232C88" w:rsidRPr="00232C88" w14:paraId="3497F846" w14:textId="77777777" w:rsidTr="00CC6BF2">
        <w:trPr>
          <w:trHeight w:val="557"/>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pPr>
            <w:r>
              <w:t>7a</w:t>
            </w:r>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rFonts w:ascii="Times New Roman" w:hAnsi="Times New Roman" w:cs="Times New Roman"/>
                <w:b/>
                <w:sz w:val="24"/>
              </w:rPr>
            </w:pPr>
            <w:r>
              <w:rPr>
                <w:rFonts w:ascii="Times New Roman" w:hAnsi="Times New Roman"/>
              </w:rPr>
              <w:t>Nie dotyczy</w:t>
            </w:r>
          </w:p>
        </w:tc>
      </w:tr>
      <w:tr w:rsidR="00232C88" w:rsidRPr="00232C88" w14:paraId="4795BFC4" w14:textId="77777777" w:rsidTr="65F04A31">
        <w:trPr>
          <w:trHeight w:val="557"/>
        </w:trPr>
        <w:tc>
          <w:tcPr>
            <w:tcW w:w="1384" w:type="dxa"/>
          </w:tcPr>
          <w:p w14:paraId="65A910C1" w14:textId="24F06232" w:rsidR="00C77B80" w:rsidRPr="00232C88" w:rsidRDefault="0082753B" w:rsidP="00475381">
            <w:pPr>
              <w:pStyle w:val="Applicationdirecte"/>
              <w:spacing w:before="60"/>
              <w:jc w:val="center"/>
            </w:pPr>
            <w:r>
              <w:t>7b</w:t>
            </w:r>
          </w:p>
        </w:tc>
        <w:tc>
          <w:tcPr>
            <w:tcW w:w="7655" w:type="dxa"/>
          </w:tcPr>
          <w:p w14:paraId="14B57CE4" w14:textId="77777777" w:rsidR="006D6654" w:rsidRPr="00232C88" w:rsidRDefault="006D6654" w:rsidP="00475381">
            <w:pPr>
              <w:spacing w:before="60" w:after="120"/>
              <w:jc w:val="both"/>
              <w:rPr>
                <w:rFonts w:ascii="Times New Roman" w:hAnsi="Times New Roman" w:cs="Times New Roman"/>
                <w:b/>
                <w:sz w:val="24"/>
              </w:rPr>
            </w:pPr>
            <w:r>
              <w:rPr>
                <w:rFonts w:ascii="Times New Roman" w:hAnsi="Times New Roman"/>
                <w:b/>
                <w:sz w:val="24"/>
              </w:rPr>
              <w:t>Łączny współczynnik kapitałowy w oparciu o TREA bez uwzględnienia minimalnego progu kapitałowego (%)</w:t>
            </w:r>
          </w:p>
          <w:p w14:paraId="21F4A0BE" w14:textId="255C233C" w:rsidR="00C77B80" w:rsidRPr="00232C88" w:rsidRDefault="006D6654" w:rsidP="006D6654">
            <w:pPr>
              <w:spacing w:before="60" w:after="120"/>
              <w:jc w:val="both"/>
              <w:rPr>
                <w:rFonts w:ascii="Times New Roman" w:hAnsi="Times New Roman" w:cs="Times New Roman"/>
                <w:sz w:val="24"/>
              </w:rPr>
            </w:pPr>
            <w:r>
              <w:rPr>
                <w:rFonts w:ascii="Times New Roman" w:hAnsi="Times New Roman"/>
                <w:sz w:val="24"/>
              </w:rPr>
              <w:t>Łączny współczynnik kapitałowy zdefiniowany w art. 92 ust. 2 lit. c) rozporządzenia (UE) nr 575/2013, wyrażony jako odsetek łącznej kwoty ekspozycji na ryzyko obliczonej przez wyłączenie wpływu minimalnego progu kapitałowego zgodnie z art. 92 ust. 4 rozporządzenia (UE) nr 575/2013.</w:t>
            </w:r>
          </w:p>
        </w:tc>
      </w:tr>
      <w:tr w:rsidR="00232C88" w:rsidRPr="00232C88" w14:paraId="3536040C" w14:textId="77777777" w:rsidTr="65F04A31">
        <w:trPr>
          <w:trHeight w:val="557"/>
        </w:trPr>
        <w:tc>
          <w:tcPr>
            <w:tcW w:w="1384" w:type="dxa"/>
          </w:tcPr>
          <w:p w14:paraId="1CD4D7BE" w14:textId="5AC0868B" w:rsidR="002D5755" w:rsidRPr="00232C88" w:rsidRDefault="002F1302" w:rsidP="002D5755">
            <w:pPr>
              <w:pStyle w:val="Applicationdirecte"/>
              <w:spacing w:before="60"/>
              <w:jc w:val="center"/>
            </w:pPr>
            <w:r>
              <w:t>EU 7d</w:t>
            </w:r>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Pr>
                <w:rFonts w:ascii="Times New Roman" w:hAnsi="Times New Roman"/>
                <w:b/>
                <w:sz w:val="24"/>
              </w:rPr>
              <w:t>Dodatkowe wymogi w zakresie funduszy własnych w celu uwzględnienia ryzyka innego niż ryzyko nadmiernej dźwigni (%)</w:t>
            </w:r>
          </w:p>
          <w:p w14:paraId="496B5202" w14:textId="406185AC" w:rsidR="002D5755" w:rsidRPr="00232C88" w:rsidRDefault="6A3DBE6D" w:rsidP="4D769726">
            <w:pPr>
              <w:spacing w:before="60" w:after="120"/>
              <w:jc w:val="both"/>
              <w:rPr>
                <w:rFonts w:ascii="Times New Roman" w:hAnsi="Times New Roman" w:cs="Times New Roman"/>
                <w:sz w:val="24"/>
              </w:rPr>
            </w:pPr>
            <w:r>
              <w:rPr>
                <w:rFonts w:ascii="Times New Roman" w:hAnsi="Times New Roman"/>
                <w:sz w:val="24"/>
              </w:rPr>
              <w:t>Dodatkowe wymogi w zakresie funduszy własnych w celu uwzględnienia ryzyka innego niż ryzyko nadmiernej dźwigni nakładane przez właściwy organ na podstawie art. 104 ust. 1 lit. a) dyrektywy 2013/36/UE, wyrażone jako odsetek łącznej kwoty ekspozycji na ryzyko.</w:t>
            </w:r>
          </w:p>
        </w:tc>
      </w:tr>
      <w:tr w:rsidR="00232C88" w:rsidRPr="00232C88" w14:paraId="7325A7E2" w14:textId="77777777" w:rsidTr="65F04A31">
        <w:trPr>
          <w:trHeight w:val="557"/>
        </w:trPr>
        <w:tc>
          <w:tcPr>
            <w:tcW w:w="1384" w:type="dxa"/>
          </w:tcPr>
          <w:p w14:paraId="74461AB8" w14:textId="5B8686E2" w:rsidR="002D5755" w:rsidRPr="00232C88" w:rsidRDefault="002F1302" w:rsidP="002D5755">
            <w:pPr>
              <w:pStyle w:val="Applicationdirecte"/>
              <w:spacing w:before="60"/>
              <w:jc w:val="center"/>
            </w:pPr>
            <w:r>
              <w:t>EU 7e</w:t>
            </w:r>
          </w:p>
        </w:tc>
        <w:tc>
          <w:tcPr>
            <w:tcW w:w="7655" w:type="dxa"/>
          </w:tcPr>
          <w:p w14:paraId="407C074B" w14:textId="35C49081" w:rsidR="002D5755" w:rsidRPr="00232C88" w:rsidRDefault="002B7ED3" w:rsidP="002D5755">
            <w:pPr>
              <w:spacing w:before="60" w:after="120"/>
              <w:jc w:val="both"/>
              <w:rPr>
                <w:rFonts w:ascii="Times New Roman" w:hAnsi="Times New Roman" w:cs="Times New Roman"/>
                <w:b/>
                <w:sz w:val="24"/>
              </w:rPr>
            </w:pPr>
            <w:r>
              <w:rPr>
                <w:rFonts w:ascii="Times New Roman" w:hAnsi="Times New Roman"/>
                <w:b/>
                <w:sz w:val="24"/>
              </w:rPr>
              <w:t>W tym: obejmujące kapitał podstawowy Tier I (punkty procentowe)</w:t>
            </w:r>
          </w:p>
          <w:p w14:paraId="7130AB39" w14:textId="7851E9C1" w:rsidR="003F72E2" w:rsidRPr="00232C88" w:rsidRDefault="37B2E115" w:rsidP="4D769726">
            <w:pPr>
              <w:spacing w:before="60" w:after="120"/>
              <w:jc w:val="both"/>
              <w:rPr>
                <w:rFonts w:ascii="Times New Roman" w:hAnsi="Times New Roman" w:cs="Times New Roman"/>
                <w:sz w:val="24"/>
              </w:rPr>
            </w:pPr>
            <w:r>
              <w:rPr>
                <w:rFonts w:ascii="Times New Roman" w:hAnsi="Times New Roman"/>
                <w:sz w:val="24"/>
              </w:rPr>
              <w:t xml:space="preserve">Część dodatkowych wymogów w zakresie funduszy własnych w celu uwzględnienia ryzyka innego niż ryzyko nadmiernej dźwigni nakładanych </w:t>
            </w:r>
            <w:r>
              <w:rPr>
                <w:rFonts w:ascii="Times New Roman" w:hAnsi="Times New Roman"/>
                <w:sz w:val="24"/>
              </w:rPr>
              <w:lastRenderedPageBreak/>
              <w:t>przez właściwy organ na podstawie art. 104 ust. 1 lit. a) dyrektywy 2013/36/UE, która to część wymogów musi być spełniona z wykorzystaniem kapitału podstawowego Tier I zgodnie z art. 104a ust. 4 akapity pierwszy i trzeci.</w:t>
            </w:r>
          </w:p>
        </w:tc>
      </w:tr>
      <w:tr w:rsidR="00232C88" w:rsidRPr="00232C88" w14:paraId="0E6077DA" w14:textId="77777777" w:rsidTr="65F04A31">
        <w:trPr>
          <w:trHeight w:val="557"/>
        </w:trPr>
        <w:tc>
          <w:tcPr>
            <w:tcW w:w="1384" w:type="dxa"/>
          </w:tcPr>
          <w:p w14:paraId="06A684D0" w14:textId="0E73557C" w:rsidR="002D5755" w:rsidRPr="00232C88" w:rsidRDefault="002F1302" w:rsidP="002D5755">
            <w:pPr>
              <w:pStyle w:val="Applicationdirecte"/>
              <w:spacing w:before="60"/>
              <w:jc w:val="center"/>
            </w:pPr>
            <w:r>
              <w:lastRenderedPageBreak/>
              <w:t>EU 7f</w:t>
            </w:r>
          </w:p>
        </w:tc>
        <w:tc>
          <w:tcPr>
            <w:tcW w:w="7655" w:type="dxa"/>
          </w:tcPr>
          <w:p w14:paraId="3D41CED8" w14:textId="50E86F1E" w:rsidR="002D5755" w:rsidRPr="00232C88" w:rsidRDefault="002B7ED3" w:rsidP="002D5755">
            <w:pPr>
              <w:spacing w:before="60" w:after="120"/>
              <w:jc w:val="both"/>
              <w:rPr>
                <w:rFonts w:ascii="Times New Roman" w:hAnsi="Times New Roman" w:cs="Times New Roman"/>
                <w:b/>
                <w:sz w:val="24"/>
              </w:rPr>
            </w:pPr>
            <w:r>
              <w:rPr>
                <w:rFonts w:ascii="Times New Roman" w:hAnsi="Times New Roman"/>
                <w:b/>
                <w:sz w:val="24"/>
              </w:rPr>
              <w:t>W tym: obejmujące kapitał Tier I (punkty procentowe)</w:t>
            </w:r>
          </w:p>
          <w:p w14:paraId="20A8FF8D" w14:textId="79818759" w:rsidR="003F72E2" w:rsidRPr="00232C88" w:rsidRDefault="6A3DBE6D" w:rsidP="4D769726">
            <w:pPr>
              <w:spacing w:before="60" w:after="120"/>
              <w:jc w:val="both"/>
              <w:rPr>
                <w:rFonts w:ascii="Times New Roman" w:hAnsi="Times New Roman" w:cs="Times New Roman"/>
                <w:sz w:val="24"/>
              </w:rPr>
            </w:pPr>
            <w:r>
              <w:rPr>
                <w:rFonts w:ascii="Times New Roman" w:hAnsi="Times New Roman"/>
                <w:sz w:val="24"/>
              </w:rPr>
              <w:t>Część dodatkowych wymogów w zakresie funduszy własnych w celu uwzględnienia ryzyka innego niż ryzyko nadmiernej dźwigni nakładanych przez właściwy organ na podstawie art. 104 ust. 1 lit. a) dyrektywy 2013/36/UE, która to część wymogów musi być spełniona z wykorzystaniem kapitału Tier I zgodnie z art. 104a ust. 4 akapity pierwszy i trzeci.</w:t>
            </w:r>
          </w:p>
        </w:tc>
      </w:tr>
      <w:tr w:rsidR="00232C88" w:rsidRPr="00232C88" w14:paraId="4D2E0DD8" w14:textId="77777777" w:rsidTr="65F04A31">
        <w:trPr>
          <w:trHeight w:val="557"/>
        </w:trPr>
        <w:tc>
          <w:tcPr>
            <w:tcW w:w="1384" w:type="dxa"/>
          </w:tcPr>
          <w:p w14:paraId="25E29F71" w14:textId="185B7F00" w:rsidR="002D5755" w:rsidRPr="00232C88" w:rsidRDefault="002F1302" w:rsidP="002D5755">
            <w:pPr>
              <w:pStyle w:val="Applicationdirecte"/>
              <w:spacing w:before="60"/>
              <w:jc w:val="center"/>
            </w:pPr>
            <w:r>
              <w:t>EU 7g</w:t>
            </w:r>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Pr>
                <w:rFonts w:ascii="Times New Roman" w:hAnsi="Times New Roman"/>
                <w:b/>
                <w:sz w:val="24"/>
              </w:rPr>
              <w:t>Łączne wymogi w zakresie funduszy własnych SREP (współczynnik TSCR) (%)</w:t>
            </w:r>
          </w:p>
          <w:p w14:paraId="0EB50A81" w14:textId="77CE0E9A" w:rsidR="003F72E2" w:rsidRPr="00677BB2" w:rsidRDefault="003F72E2" w:rsidP="00677BB2">
            <w:pPr>
              <w:pStyle w:val="InstructionsText"/>
            </w:pPr>
            <w:r>
              <w:rPr>
                <w:b w:val="0"/>
                <w:bCs w:val="0"/>
              </w:rPr>
              <w:t>Suma następujących pkt (i) oraz (ii):</w:t>
            </w:r>
          </w:p>
          <w:p w14:paraId="5260BB93" w14:textId="1D865CC9" w:rsidR="003F72E2" w:rsidRPr="00677BB2" w:rsidRDefault="003F72E2" w:rsidP="00677BB2">
            <w:pPr>
              <w:pStyle w:val="InstructionsText"/>
              <w:numPr>
                <w:ilvl w:val="0"/>
                <w:numId w:val="12"/>
              </w:numPr>
            </w:pPr>
            <w:r>
              <w:rPr>
                <w:b w:val="0"/>
                <w:bCs w:val="0"/>
              </w:rPr>
              <w:t xml:space="preserve">łącznego współczynnika kapitałowego (8 %), jak określono w art. 92 ust. 1 lit. c) rozporządzenia (UE) nr 575/2013; </w:t>
            </w:r>
          </w:p>
          <w:p w14:paraId="6408D689" w14:textId="2B5BF350" w:rsidR="003F72E2" w:rsidRPr="00677BB2" w:rsidRDefault="77E19EAF" w:rsidP="00677BB2">
            <w:pPr>
              <w:pStyle w:val="InstructionsText"/>
              <w:numPr>
                <w:ilvl w:val="0"/>
                <w:numId w:val="12"/>
              </w:numPr>
            </w:pPr>
            <w:r>
              <w:rPr>
                <w:b w:val="0"/>
                <w:bCs w:val="0"/>
              </w:rPr>
              <w:t>dodatkowych wymogów w zakresie funduszy własnych w celu uwzględnienia ryzyka innego niż ryzyko nadmiernej dźwigni (wymogi filaru II) nakładanych przez właściwy organ na podstawie art. 104 ust. 1 lit. a) dyrektywy 2013/36/UE i ustalonych zgodnie z kryteriami określonymi w wytycznych EBA/GL/2018/03</w:t>
            </w:r>
            <w:r>
              <w:rPr>
                <w:rStyle w:val="FootnoteReference"/>
                <w:rFonts w:ascii="Times New Roman" w:hAnsi="Times New Roman"/>
                <w:b w:val="0"/>
                <w:bCs w:val="0"/>
                <w:i/>
              </w:rPr>
              <w:footnoteReference w:id="3"/>
            </w:r>
            <w:r>
              <w:rPr>
                <w:b w:val="0"/>
                <w:bCs w:val="0"/>
              </w:rPr>
              <w:t xml:space="preserve"> („EBA SREP GL”), wyrażonych jako odsetek łącznych kwot ekspozycji ważonych ryzykiem.</w:t>
            </w:r>
          </w:p>
          <w:p w14:paraId="421B2155" w14:textId="458E132C" w:rsidR="003F72E2" w:rsidRPr="00677BB2" w:rsidRDefault="003F72E2" w:rsidP="00677BB2">
            <w:pPr>
              <w:pStyle w:val="InstructionsText"/>
            </w:pPr>
            <w:r>
              <w:t xml:space="preserve">Pozycja ta musi odzwierciedlać współczynnik całkowitego wymogu kapitałowego SREP (TSCR) podany do wiadomości instytucji przez właściwy organ. </w:t>
            </w:r>
            <w:r>
              <w:rPr>
                <w:b w:val="0"/>
                <w:bCs w:val="0"/>
              </w:rPr>
              <w:t>TSCR zdefiniowano w sekcjach 7.4 i 7.5 EBA SREP GL.</w:t>
            </w:r>
          </w:p>
          <w:p w14:paraId="16E68C5B" w14:textId="77777777" w:rsidR="009E1F4E" w:rsidRPr="00677BB2" w:rsidRDefault="009E1F4E" w:rsidP="00677BB2">
            <w:pPr>
              <w:pStyle w:val="InstructionsText"/>
            </w:pPr>
            <w:r>
              <w:rPr>
                <w:b w:val="0"/>
                <w:bCs w:val="0"/>
              </w:rPr>
              <w:t>Jeżeli instytucja jest związana minimalnym progiem kapitałowym, zgłaszane dane odzwierciedlają TSCR wymagane do spełnienia wymogów na dzień sprawozdawczy, z uwzględnieniem przepisów art. 104a ust. 6 dyrektywy 2013/36/UE.</w:t>
            </w:r>
          </w:p>
          <w:p w14:paraId="25DA925F" w14:textId="2F58FE29" w:rsidR="003F72E2" w:rsidRPr="00232C88" w:rsidRDefault="00704085" w:rsidP="00A239F6">
            <w:pPr>
              <w:spacing w:before="60" w:after="120"/>
              <w:jc w:val="both"/>
              <w:rPr>
                <w:rFonts w:ascii="Times New Roman" w:hAnsi="Times New Roman" w:cs="Times New Roman"/>
                <w:sz w:val="24"/>
              </w:rPr>
            </w:pPr>
            <w:r>
              <w:rPr>
                <w:rFonts w:ascii="Times New Roman" w:hAnsi="Times New Roman"/>
                <w:sz w:val="24"/>
              </w:rPr>
              <w:t>Jeżeli właściwy organ nie podał żadnych dodatkowych wymogów w zakresie funduszy własnych w celu uwzględnienia ryzyka innego niż ryzyko nadmiernej dźwigni, ujawnia się tylko pkt (i).</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Bufor zabezpieczający (%)</w:t>
            </w:r>
          </w:p>
          <w:p w14:paraId="14E6CB6D" w14:textId="08A78286" w:rsidR="009D0637" w:rsidRPr="00232C88" w:rsidRDefault="3FBF28E0" w:rsidP="4D769726">
            <w:pPr>
              <w:spacing w:before="60" w:after="120"/>
              <w:jc w:val="both"/>
              <w:rPr>
                <w:rFonts w:ascii="Times New Roman" w:hAnsi="Times New Roman" w:cs="Times New Roman"/>
                <w:sz w:val="24"/>
              </w:rPr>
            </w:pPr>
            <w:r>
              <w:rPr>
                <w:rFonts w:ascii="Times New Roman" w:hAnsi="Times New Roman"/>
                <w:sz w:val="24"/>
              </w:rPr>
              <w:t>Kwota funduszy własnych, do których utrzymywania instytucje są zobowiązane zgodnie z art. 128 pkt 1 i art. 129 dyrektywy 2013/36/UE, wyrażona jako odsetek łącznych kwot ekspozycji ważonych ryzykiem.</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t>EU 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Bufor zabezpieczający wynikający z ryzyka makroostrożnościowego lub ryzyka systemowego zidentyfikowanego na poziomie państwa członkowskiego (%)</w:t>
            </w:r>
          </w:p>
          <w:p w14:paraId="26288177" w14:textId="7E210F32" w:rsidR="009D0637" w:rsidRPr="00232C88" w:rsidRDefault="009D0637" w:rsidP="0097538A">
            <w:pPr>
              <w:spacing w:before="60" w:after="120"/>
              <w:jc w:val="both"/>
              <w:rPr>
                <w:rFonts w:ascii="Times New Roman" w:hAnsi="Times New Roman" w:cs="Times New Roman"/>
                <w:sz w:val="24"/>
              </w:rPr>
            </w:pPr>
            <w:r>
              <w:rPr>
                <w:rFonts w:ascii="Times New Roman" w:hAnsi="Times New Roman"/>
                <w:sz w:val="24"/>
              </w:rPr>
              <w:lastRenderedPageBreak/>
              <w:t>Kwota bufora zabezpieczającego wynikającego z ryzyka makroostrożnościowego lub ryzyka systemowego zidentyfikowanego na poziomie państwa członkowskiego, która może być wymagana zgodnie z art. 458 rozporządzenia (UE) nr 575/2013 poza buforem zabezpieczającym, wyrażona jako odsetek łącznych kwot ekspozycji ważonych ryzykiem.</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lastRenderedPageBreak/>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Specyficzny dla instytucji bufor antycykliczny (%)</w:t>
            </w:r>
          </w:p>
          <w:p w14:paraId="7EE95752" w14:textId="048F4470" w:rsidR="008C672C" w:rsidRPr="00677BB2" w:rsidRDefault="59C8E997" w:rsidP="00677BB2">
            <w:pPr>
              <w:pStyle w:val="InstructionsText"/>
            </w:pPr>
            <w:r>
              <w:rPr>
                <w:b w:val="0"/>
                <w:bCs w:val="0"/>
              </w:rPr>
              <w:t>Kwota funduszy własnych, do których utrzymywania instytucje są zobowiązane zgodnie z art. 128 pkt 2, art. 130 i art. 135–140 dyrektywy 2013/36/UE, wyrażona jako odsetek łącznych kwot ekspozycji ważonych ryzykiem.</w:t>
            </w:r>
          </w:p>
          <w:p w14:paraId="58C7EB22" w14:textId="2947DC9F"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Odsetek ten musi odzwierciedlać kwotę funduszy własnych niezbędnych do spełnienia odpowiednich wymogów w zakresie buforów kapitałowych na dzień ujawnienia.</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t>EU 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Bufor ryzyka systemowego (%)</w:t>
            </w:r>
          </w:p>
          <w:p w14:paraId="1A39C087" w14:textId="523BD954" w:rsidR="008C672C" w:rsidRPr="00677BB2" w:rsidRDefault="59C8E997" w:rsidP="00677BB2">
            <w:pPr>
              <w:pStyle w:val="InstructionsText"/>
            </w:pPr>
            <w:r>
              <w:rPr>
                <w:b w:val="0"/>
                <w:bCs w:val="0"/>
              </w:rPr>
              <w:t>Kwota funduszy własnych, do których utrzymywania instytucje są zobowiązane zgodnie z art. 128 pkt 5, art. 133 i art. 134 dyrektywy 2013/36/UE, wyrażona jako odsetek łącznych kwot ekspozycji ważonych ryzykiem.</w:t>
            </w:r>
          </w:p>
          <w:p w14:paraId="349BC1DA" w14:textId="39EEC453" w:rsidR="008C672C" w:rsidRPr="00232C88" w:rsidRDefault="008C672C" w:rsidP="002635C4">
            <w:pPr>
              <w:spacing w:before="60" w:after="120"/>
              <w:jc w:val="both"/>
              <w:rPr>
                <w:rFonts w:ascii="Times New Roman" w:hAnsi="Times New Roman" w:cs="Times New Roman"/>
                <w:sz w:val="24"/>
              </w:rPr>
            </w:pPr>
            <w:r>
              <w:rPr>
                <w:rFonts w:ascii="Times New Roman" w:hAnsi="Times New Roman"/>
                <w:sz w:val="24"/>
              </w:rPr>
              <w:t>Odsetek ten musi odzwierciedlać kwotę funduszy własnych niezbędnych do spełnienia odpowiednich wymogów w zakresie buforów kapitałowych na dzień ujawnienia.</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Pr>
                <w:rFonts w:ascii="Times New Roman" w:hAnsi="Times New Roman"/>
                <w:b/>
                <w:sz w:val="24"/>
              </w:rPr>
              <w:t>Bufor globalnych instytucji o znaczeniu systemowym (%)</w:t>
            </w:r>
          </w:p>
          <w:p w14:paraId="6FDE597A" w14:textId="5D0D3EC2" w:rsidR="00F16314" w:rsidRPr="00677BB2" w:rsidRDefault="564F8672" w:rsidP="00677BB2">
            <w:pPr>
              <w:pStyle w:val="InstructionsText"/>
            </w:pPr>
            <w:r>
              <w:rPr>
                <w:b w:val="0"/>
                <w:bCs w:val="0"/>
              </w:rPr>
              <w:t>Kwota funduszy własnych, do których utrzymywania instytucje są zobowiązane zgodnie z art. 128 pkt 3 i art. 131 dyrektywy 2013/36/UE, wyrażona jako odsetek łącznych kwot ekspozycji ważonych ryzykiem.</w:t>
            </w:r>
          </w:p>
          <w:p w14:paraId="401B9FFF" w14:textId="0D3B761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Odsetek ten musi odzwierciedlać kwotę funduszy własnych niezbędnych do spełnienia odpowiednich wymogów w zakresie buforów kapitałowych na dzień ujawnienia.</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t>EU 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Bufor innych instytucji o znaczeniu systemowym (%)</w:t>
            </w:r>
          </w:p>
          <w:p w14:paraId="71C25616" w14:textId="2C80B82C" w:rsidR="00F16314" w:rsidRPr="00232C88" w:rsidRDefault="564F8672" w:rsidP="4D769726">
            <w:pPr>
              <w:spacing w:before="60" w:after="120"/>
              <w:jc w:val="both"/>
              <w:rPr>
                <w:rFonts w:ascii="Times New Roman" w:hAnsi="Times New Roman" w:cs="Times New Roman"/>
                <w:sz w:val="24"/>
              </w:rPr>
            </w:pPr>
            <w:r>
              <w:rPr>
                <w:rFonts w:ascii="Times New Roman" w:hAnsi="Times New Roman"/>
                <w:sz w:val="24"/>
              </w:rPr>
              <w:t>Kwota funduszy własnych, do których utrzymywania instytucje są zobowiązane zgodnie z art. 128 pkt 4 i art. 131 dyrektywy 2013/36/UE, wyrażona jako odsetek łącznych kwot ekspozycji ważonych ryzykiem.</w:t>
            </w:r>
          </w:p>
          <w:p w14:paraId="476D85A0" w14:textId="40C01166" w:rsidR="00F16314" w:rsidRPr="00232C88" w:rsidRDefault="00F16314" w:rsidP="002635C4">
            <w:pPr>
              <w:spacing w:before="60" w:after="120"/>
              <w:jc w:val="both"/>
              <w:rPr>
                <w:rFonts w:ascii="Times New Roman" w:hAnsi="Times New Roman" w:cs="Times New Roman"/>
                <w:sz w:val="24"/>
              </w:rPr>
            </w:pPr>
            <w:r>
              <w:rPr>
                <w:rFonts w:ascii="Times New Roman" w:hAnsi="Times New Roman"/>
                <w:sz w:val="24"/>
              </w:rPr>
              <w:t>Odsetek ten musi odzwierciedlać kwotę funduszy własnych niezbędnych do spełnienia odpowiednich wymogów w zakresie buforów kapitałowych na dzień ujawnienia.</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Wymóg połączonego bufora (%)</w:t>
            </w:r>
          </w:p>
          <w:p w14:paraId="04E18E6B" w14:textId="612637D7" w:rsidR="00F16314" w:rsidRPr="00232C88" w:rsidRDefault="009D10AD" w:rsidP="4D769726">
            <w:pPr>
              <w:spacing w:before="60" w:after="120"/>
              <w:jc w:val="both"/>
              <w:rPr>
                <w:rFonts w:ascii="Times New Roman" w:hAnsi="Times New Roman" w:cs="Times New Roman"/>
                <w:sz w:val="24"/>
              </w:rPr>
            </w:pPr>
            <w:r>
              <w:rPr>
                <w:rFonts w:ascii="Times New Roman" w:hAnsi="Times New Roman"/>
                <w:sz w:val="24"/>
              </w:rPr>
              <w:t>Zgodnie z art. 128 pkt 6 dyrektywy 2013/36/UE – kwota wyrażona jako odsetek łącznych kwot ekspozycji ważonych ryzykiem.</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t>EU 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Współczynnik łącznego wymogu kapitałowego (OCR) (%)</w:t>
            </w:r>
          </w:p>
          <w:p w14:paraId="27E7760D" w14:textId="77777777" w:rsidR="003F72E2" w:rsidRPr="00677BB2" w:rsidRDefault="003F72E2" w:rsidP="00677BB2">
            <w:pPr>
              <w:pStyle w:val="InstructionsText"/>
            </w:pPr>
            <w:r>
              <w:rPr>
                <w:b w:val="0"/>
                <w:bCs w:val="0"/>
              </w:rPr>
              <w:lastRenderedPageBreak/>
              <w:t>Suma następujących pkt (i) oraz (ii):</w:t>
            </w:r>
          </w:p>
          <w:p w14:paraId="75A891AF" w14:textId="77777777" w:rsidR="003F72E2" w:rsidRPr="00677BB2" w:rsidRDefault="003F72E2" w:rsidP="00677BB2">
            <w:pPr>
              <w:pStyle w:val="InstructionsText"/>
              <w:numPr>
                <w:ilvl w:val="0"/>
                <w:numId w:val="13"/>
              </w:numPr>
            </w:pPr>
            <w:r>
              <w:rPr>
                <w:b w:val="0"/>
                <w:bCs w:val="0"/>
              </w:rPr>
              <w:t>współczynnika TSCR, o którym mowa w wierszu EU 7d;</w:t>
            </w:r>
          </w:p>
          <w:p w14:paraId="5EE9D2EB" w14:textId="1239145E" w:rsidR="003F72E2" w:rsidRPr="00677BB2" w:rsidRDefault="77E19EAF" w:rsidP="00677BB2">
            <w:pPr>
              <w:pStyle w:val="InstructionsText"/>
              <w:numPr>
                <w:ilvl w:val="0"/>
                <w:numId w:val="13"/>
              </w:numPr>
            </w:pPr>
            <w:r>
              <w:rPr>
                <w:b w:val="0"/>
                <w:bCs w:val="0"/>
              </w:rPr>
              <w:t>współczynnika wymogu połączonego bufora, o którym mowa w art. 128 pkt 6 dyrektywy 2013/36/UE – w zakresie, w jakim ma on zastosowanie zgodnie z przepisami prawa.</w:t>
            </w:r>
          </w:p>
          <w:p w14:paraId="4B4D7463" w14:textId="52E60BF7" w:rsidR="003F72E2" w:rsidRPr="00677BB2" w:rsidRDefault="003F72E2" w:rsidP="00677BB2">
            <w:pPr>
              <w:pStyle w:val="InstructionsText"/>
            </w:pPr>
            <w:r>
              <w:rPr>
                <w:b w:val="0"/>
                <w:bCs w:val="0"/>
              </w:rPr>
              <w:t>Pozycja ta musi odzwierciedlać współczynnik łącznego wymogu kapitałowego (OCR), jak określono w sekcji 1.2 EBA SREP GL.</w:t>
            </w:r>
          </w:p>
          <w:p w14:paraId="7576CCD5" w14:textId="5E65E58F" w:rsidR="003F72E2" w:rsidRPr="00232C88" w:rsidRDefault="00704085" w:rsidP="003F72E2">
            <w:pPr>
              <w:spacing w:before="60" w:after="120"/>
              <w:jc w:val="both"/>
              <w:rPr>
                <w:rFonts w:ascii="Times New Roman" w:hAnsi="Times New Roman" w:cs="Times New Roman"/>
                <w:sz w:val="24"/>
              </w:rPr>
            </w:pPr>
            <w:r>
              <w:rPr>
                <w:rFonts w:ascii="Times New Roman" w:hAnsi="Times New Roman"/>
                <w:sz w:val="24"/>
              </w:rPr>
              <w:t>Jeżeli nie ma zastosowania żaden wymóg w zakresie bufora, ujawnia się tylko pkt (i).</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lastRenderedPageBreak/>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Kapitał podstawowy Tier I dostępny po spełnieniu łącznych wymogów w zakresie funduszy własnych SREP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Pr>
                <w:rFonts w:ascii="Times New Roman" w:hAnsi="Times New Roman"/>
                <w:b/>
                <w:sz w:val="24"/>
              </w:rPr>
              <w:t>Miara ekspozycji całkowitej</w:t>
            </w:r>
          </w:p>
          <w:p w14:paraId="7F06FA40" w14:textId="4B87FF94" w:rsidR="00BB2F0A" w:rsidRPr="00232C88" w:rsidRDefault="00A239F6" w:rsidP="00A239F6">
            <w:pPr>
              <w:spacing w:before="60" w:after="120"/>
              <w:jc w:val="both"/>
              <w:rPr>
                <w:rFonts w:ascii="Times New Roman" w:hAnsi="Times New Roman" w:cs="Times New Roman"/>
                <w:sz w:val="24"/>
              </w:rPr>
            </w:pPr>
            <w:r>
              <w:rPr>
                <w:rFonts w:ascii="Times New Roman" w:hAnsi="Times New Roman"/>
                <w:sz w:val="24"/>
              </w:rPr>
              <w:t>Miara ekspozycji całkowitej zgodnie z kwotą ujawnianą przez instytucje w załączniku XI do rozwiązań informatycznych EUNB (wiersz 24 wzoru EU LR2 – LRCom: Wspólne ujawnianie wskaźnika dźwigni).</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Wskaźnik dźwigni (%)</w:t>
            </w:r>
          </w:p>
          <w:p w14:paraId="19D19C40" w14:textId="760F6920" w:rsidR="00BB2F0A" w:rsidRPr="00232C88" w:rsidRDefault="00BB2F0A" w:rsidP="00416DAD">
            <w:pPr>
              <w:spacing w:before="60" w:after="120"/>
              <w:jc w:val="both"/>
              <w:rPr>
                <w:rFonts w:ascii="Times New Roman" w:hAnsi="Times New Roman" w:cs="Times New Roman"/>
                <w:sz w:val="24"/>
              </w:rPr>
            </w:pPr>
            <w:r>
              <w:rPr>
                <w:rFonts w:ascii="Times New Roman" w:hAnsi="Times New Roman"/>
                <w:sz w:val="24"/>
              </w:rPr>
              <w:t xml:space="preserve">Wskaźnik dźwigni zgodnie z kwotą ujawnianą przez instytucje w załączniku XI do </w:t>
            </w:r>
            <w:bookmarkStart w:id="10" w:name="_Hlk169692988"/>
            <w:r>
              <w:rPr>
                <w:rFonts w:ascii="Times New Roman" w:hAnsi="Times New Roman"/>
                <w:sz w:val="24"/>
              </w:rPr>
              <w:t>rozwiązań informatycznych EUNB</w:t>
            </w:r>
            <w:bookmarkEnd w:id="10"/>
            <w:r>
              <w:rPr>
                <w:rFonts w:ascii="Times New Roman" w:hAnsi="Times New Roman"/>
                <w:sz w:val="24"/>
              </w:rPr>
              <w:t xml:space="preserve"> (wiersz 25 wzoru EU LR2 – LRCom: Wspólne ujawnianie wskaźnika dźwigni).</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t>EU 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 xml:space="preserve">Dodatkowe wymogi w zakresie funduszy własnych w celu uwzględnienia ryzyka nadmiernej dźwigni finansowej (%) </w:t>
            </w:r>
          </w:p>
          <w:p w14:paraId="4884A9B8" w14:textId="32CF04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Dodatkowe</w:t>
            </w:r>
            <w:r>
              <w:rPr>
                <w:rFonts w:ascii="Times New Roman" w:hAnsi="Times New Roman"/>
                <w:sz w:val="24"/>
              </w:rPr>
              <w:t xml:space="preserve"> </w:t>
            </w:r>
            <w:r>
              <w:rPr>
                <w:rFonts w:ascii="Times New Roman" w:hAnsi="Times New Roman"/>
                <w:sz w:val="24"/>
                <w:shd w:val="clear" w:color="auto" w:fill="FFFFFF"/>
              </w:rPr>
              <w:t>wymogi w zakresie funduszy własnych</w:t>
            </w:r>
            <w:r>
              <w:rPr>
                <w:rFonts w:ascii="Times New Roman" w:hAnsi="Times New Roman"/>
                <w:sz w:val="24"/>
              </w:rPr>
              <w:t xml:space="preserve"> </w:t>
            </w:r>
            <w:r>
              <w:rPr>
                <w:rFonts w:ascii="Times New Roman" w:hAnsi="Times New Roman"/>
                <w:sz w:val="24"/>
                <w:shd w:val="clear" w:color="auto" w:fill="FFFFFF"/>
              </w:rPr>
              <w:t>w celu uwzględnienia</w:t>
            </w:r>
            <w:r>
              <w:rPr>
                <w:rFonts w:ascii="Times New Roman" w:hAnsi="Times New Roman"/>
                <w:sz w:val="24"/>
              </w:rPr>
              <w:t xml:space="preserve"> ryzyka nadmiernej dźwigni nakładane przez właściwy organ na podstawie art. 104 ust. 1 lit. a) dyrektywy 2013/36/UE, wyrażone jako </w:t>
            </w:r>
            <w:r>
              <w:rPr>
                <w:rFonts w:ascii="Times New Roman" w:hAnsi="Times New Roman"/>
                <w:sz w:val="24"/>
                <w:shd w:val="clear" w:color="auto" w:fill="FFFFFF"/>
              </w:rPr>
              <w:t>odsetek miary ekspozycji całkowitej</w:t>
            </w:r>
            <w:r>
              <w:rPr>
                <w:rFonts w:ascii="Times New Roman" w:hAnsi="Times New Roman"/>
                <w:sz w:val="24"/>
              </w:rPr>
              <w:t>.</w:t>
            </w:r>
            <w:r>
              <w:rPr>
                <w:rFonts w:ascii="Times New Roman" w:hAnsi="Times New Roman"/>
                <w:sz w:val="24"/>
                <w:shd w:val="clear" w:color="auto" w:fill="FFFFFF"/>
              </w:rPr>
              <w:t xml:space="preserve"> </w:t>
            </w:r>
          </w:p>
          <w:p w14:paraId="46E7F0BC" w14:textId="2D154485" w:rsidR="000C1BEC" w:rsidRPr="00232C88" w:rsidRDefault="00597D20" w:rsidP="00597D20">
            <w:pPr>
              <w:spacing w:before="60" w:after="120"/>
              <w:jc w:val="both"/>
              <w:rPr>
                <w:rFonts w:ascii="Times New Roman" w:hAnsi="Times New Roman" w:cs="Times New Roman"/>
                <w:sz w:val="24"/>
              </w:rPr>
            </w:pPr>
            <w:r>
              <w:rPr>
                <w:rFonts w:ascii="Times New Roman" w:hAnsi="Times New Roman"/>
                <w:sz w:val="24"/>
              </w:rPr>
              <w:t>Dodatkowe wymogi w zakresie funduszy własnych zgodnie z wartością ujawnianą przez instytucje w załączniku XI do rozwiązań informatycznych EUNB (wiersz EU 26a wzoru EU LR2 – LRCom: Wspólne ujawnianie wskaźnika dźwigni).</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t>EU 14b</w:t>
            </w:r>
          </w:p>
        </w:tc>
        <w:tc>
          <w:tcPr>
            <w:tcW w:w="7655" w:type="dxa"/>
          </w:tcPr>
          <w:p w14:paraId="2B7D35CB" w14:textId="7FFBABF5" w:rsidR="00381E59" w:rsidRPr="00232C88" w:rsidRDefault="002B7ED3" w:rsidP="00597D20">
            <w:pPr>
              <w:spacing w:before="60" w:after="120"/>
              <w:jc w:val="both"/>
              <w:rPr>
                <w:rFonts w:ascii="Times New Roman" w:hAnsi="Times New Roman" w:cs="Times New Roman"/>
                <w:b/>
                <w:sz w:val="24"/>
              </w:rPr>
            </w:pPr>
            <w:r>
              <w:rPr>
                <w:rFonts w:ascii="Times New Roman" w:hAnsi="Times New Roman"/>
                <w:b/>
                <w:sz w:val="24"/>
              </w:rPr>
              <w:t>W tym: obejmujące kapitał podstawowy Tier I (punkty procentowe)</w:t>
            </w:r>
          </w:p>
          <w:p w14:paraId="4E1932EC" w14:textId="4AF7540F" w:rsidR="00597D20" w:rsidRPr="00232C88" w:rsidRDefault="49BBA50F" w:rsidP="4D769726">
            <w:pPr>
              <w:spacing w:before="60" w:after="120"/>
              <w:jc w:val="both"/>
              <w:rPr>
                <w:rFonts w:ascii="Times New Roman" w:eastAsia="Book Antiqua" w:hAnsi="Times New Roman" w:cs="Times New Roman"/>
                <w:sz w:val="24"/>
                <w:shd w:val="clear" w:color="auto" w:fill="FFFFFF"/>
              </w:rPr>
            </w:pPr>
            <w:r>
              <w:rPr>
                <w:rFonts w:ascii="Times New Roman" w:hAnsi="Times New Roman"/>
                <w:sz w:val="24"/>
                <w:shd w:val="clear" w:color="auto" w:fill="FFFFFF"/>
              </w:rPr>
              <w:t>Część dodatkowych</w:t>
            </w:r>
            <w:r>
              <w:rPr>
                <w:rFonts w:ascii="Times New Roman" w:hAnsi="Times New Roman"/>
                <w:sz w:val="24"/>
              </w:rPr>
              <w:t xml:space="preserve"> wymogów w zakresie funduszy własnych w celu </w:t>
            </w:r>
            <w:r>
              <w:rPr>
                <w:rFonts w:ascii="Times New Roman" w:hAnsi="Times New Roman"/>
                <w:sz w:val="24"/>
                <w:shd w:val="clear" w:color="auto" w:fill="FFFFFF"/>
              </w:rPr>
              <w:t>uwzględnienia ryzyka nadmiernej dźwigni</w:t>
            </w:r>
            <w:r>
              <w:rPr>
                <w:rFonts w:ascii="Times New Roman" w:hAnsi="Times New Roman"/>
                <w:sz w:val="24"/>
              </w:rPr>
              <w:t xml:space="preserve"> nakładanych przez właściwy organ na podstawie art. 104 ust. 1 lit. a) dyrektywy 2013/36/UE,</w:t>
            </w:r>
            <w:r>
              <w:rPr>
                <w:rFonts w:ascii="Times New Roman" w:hAnsi="Times New Roman"/>
                <w:sz w:val="24"/>
                <w:shd w:val="clear" w:color="auto" w:fill="FFFFFF"/>
              </w:rPr>
              <w:t xml:space="preserve"> która to część wymogów musi być spełniona z wykorzystaniem kapitału podstawowego Tier I zgodnie z art. 104a ust. 4 akapit trzeci</w:t>
            </w:r>
            <w:r>
              <w:rPr>
                <w:rFonts w:ascii="Times New Roman" w:hAnsi="Times New Roman"/>
                <w:sz w:val="24"/>
              </w:rPr>
              <w:t>.</w:t>
            </w:r>
            <w:r>
              <w:rPr>
                <w:rFonts w:ascii="Times New Roman" w:hAnsi="Times New Roman"/>
                <w:sz w:val="24"/>
                <w:shd w:val="clear" w:color="auto" w:fill="FFFFFF"/>
              </w:rPr>
              <w:t xml:space="preserve"> </w:t>
            </w:r>
          </w:p>
          <w:p w14:paraId="68D46321" w14:textId="250E24AF" w:rsidR="000C1BEC" w:rsidRPr="00232C88" w:rsidRDefault="00597D20" w:rsidP="000C1BEC">
            <w:pPr>
              <w:spacing w:before="60" w:after="120"/>
              <w:jc w:val="both"/>
              <w:rPr>
                <w:rFonts w:ascii="Times New Roman" w:hAnsi="Times New Roman" w:cs="Times New Roman"/>
                <w:sz w:val="24"/>
              </w:rPr>
            </w:pPr>
            <w:r>
              <w:rPr>
                <w:rFonts w:ascii="Times New Roman" w:hAnsi="Times New Roman"/>
                <w:sz w:val="24"/>
              </w:rPr>
              <w:t>Dodatkowe wymogi w zakresie funduszy własnych zgodnie z wartością ujawnianą przez instytucje w załączniku XI do rozwiązań informatycznych EUNB (wiersz EU 26b wzoru EU LR2 – LRCom: Wspólne ujawnianie wskaźnika dźwigni).</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lastRenderedPageBreak/>
              <w:t>EU 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Łączne wymogi w zakresie wskaźnika dźwigni SREP (%)</w:t>
            </w:r>
          </w:p>
          <w:p w14:paraId="12B9013E" w14:textId="77777777" w:rsidR="00505188" w:rsidRPr="00677BB2" w:rsidRDefault="00505188" w:rsidP="00677BB2">
            <w:pPr>
              <w:pStyle w:val="InstructionsText"/>
            </w:pPr>
            <w:r>
              <w:rPr>
                <w:b w:val="0"/>
                <w:bCs w:val="0"/>
              </w:rPr>
              <w:t>Suma następujących pkt (i) oraz (ii):</w:t>
            </w:r>
          </w:p>
          <w:p w14:paraId="5E716F27" w14:textId="0373DF56" w:rsidR="00505188" w:rsidRPr="00677BB2" w:rsidRDefault="00D96782" w:rsidP="00677BB2">
            <w:pPr>
              <w:pStyle w:val="InstructionsText"/>
            </w:pPr>
            <w:r>
              <w:rPr>
                <w:b w:val="0"/>
                <w:bCs w:val="0"/>
              </w:rPr>
              <w:t xml:space="preserve">(i) minimalny wymóg dotyczący wskaźnika dźwigni określony w art. 92 ust. 1 lit. d) rozporządzenia (UE) nr 575/2013 lub skorygowany wymóg dotyczący wskaźnika dźwigni obliczany zgodnie z art. 429a ust. 7 rozporządzenia (UE) nr 575/2013, stosownie do przypadku; </w:t>
            </w:r>
          </w:p>
          <w:p w14:paraId="40C21DE2" w14:textId="09C7D200" w:rsidR="00505188" w:rsidRPr="00677BB2" w:rsidRDefault="00D96782" w:rsidP="00677BB2">
            <w:pPr>
              <w:pStyle w:val="InstructionsText"/>
            </w:pPr>
            <w:r>
              <w:rPr>
                <w:b w:val="0"/>
                <w:bCs w:val="0"/>
              </w:rPr>
              <w:t>(ii) dodatkowe wymogi w zakresie funduszy własnych w celu uwzględnienia ryzyka nadmiernej dźwigni (wymogi filaru 2 – P2R) nakładane przez właściwy organ na podstawie art. 104 ust. 1 lit. a) dyrektywy 2013/36/UE, wyrażone jako odsetek miary ekspozycji całkowitej.</w:t>
            </w:r>
          </w:p>
          <w:p w14:paraId="72014476" w14:textId="72428B13" w:rsidR="00505188" w:rsidRPr="00677BB2" w:rsidRDefault="00505188" w:rsidP="00677BB2">
            <w:pPr>
              <w:pStyle w:val="InstructionsText"/>
            </w:pPr>
            <w:r>
              <w:rPr>
                <w:b w:val="0"/>
                <w:bCs w:val="0"/>
              </w:rPr>
              <w:t>Pozycja ta musi odzwierciedlać łączny wymóg dotyczący wskaźnika dźwigni SREP (TSLRR) podany do wiadomości instytucji przez właściwy organ.</w:t>
            </w:r>
          </w:p>
          <w:p w14:paraId="35AC4925" w14:textId="264DA7C5" w:rsidR="00505188" w:rsidRPr="00232C88" w:rsidRDefault="00505188" w:rsidP="00A44A20">
            <w:pPr>
              <w:spacing w:before="60" w:after="120"/>
              <w:jc w:val="both"/>
              <w:rPr>
                <w:rFonts w:ascii="Times New Roman" w:hAnsi="Times New Roman" w:cs="Times New Roman"/>
                <w:sz w:val="24"/>
              </w:rPr>
            </w:pPr>
            <w:r>
              <w:rPr>
                <w:rFonts w:ascii="Times New Roman" w:hAnsi="Times New Roman"/>
                <w:sz w:val="24"/>
              </w:rPr>
              <w:t>Jeżeli właściwy organ nie nałożył żadnych dodatkowych wymogów w zakresie funduszy własnych w celu uwzględnienia ryzyka nadmiernej dźwigni, ujawnia się tylko pkt (i).</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t>EU 14d</w:t>
            </w:r>
          </w:p>
        </w:tc>
        <w:tc>
          <w:tcPr>
            <w:tcW w:w="7655" w:type="dxa"/>
          </w:tcPr>
          <w:p w14:paraId="08E93EB0" w14:textId="1CAE83B8" w:rsidR="00505188" w:rsidRPr="00232C88" w:rsidRDefault="00BB3630" w:rsidP="00677BB2">
            <w:pPr>
              <w:pStyle w:val="InstructionsText"/>
            </w:pPr>
            <w:r>
              <w:t>Wymóg w zakresie bufora wskaźnika dźwigni (%)</w:t>
            </w:r>
          </w:p>
          <w:p w14:paraId="0A30AE70" w14:textId="646BA176" w:rsidR="00641F64" w:rsidRPr="00232C88" w:rsidRDefault="00641F64" w:rsidP="004A2B2B">
            <w:pPr>
              <w:spacing w:before="60" w:after="120"/>
              <w:jc w:val="both"/>
              <w:rPr>
                <w:rFonts w:ascii="Times New Roman" w:hAnsi="Times New Roman" w:cs="Times New Roman"/>
                <w:sz w:val="24"/>
              </w:rPr>
            </w:pPr>
            <w:r>
              <w:rPr>
                <w:rFonts w:ascii="Times New Roman" w:hAnsi="Times New Roman"/>
                <w:sz w:val="24"/>
              </w:rPr>
              <w:t>Art. 92 ust. 1a rozporządzenia (UE) nr 575/2013</w:t>
            </w:r>
          </w:p>
          <w:p w14:paraId="7716A8FF" w14:textId="2792D8EB" w:rsidR="00505188" w:rsidRPr="00232C88" w:rsidRDefault="00505188" w:rsidP="004A2B2B">
            <w:pPr>
              <w:spacing w:before="60" w:after="120"/>
              <w:jc w:val="both"/>
              <w:rPr>
                <w:rFonts w:ascii="Times New Roman" w:hAnsi="Times New Roman" w:cs="Times New Roman"/>
                <w:sz w:val="24"/>
              </w:rPr>
            </w:pPr>
            <w:r>
              <w:rPr>
                <w:rFonts w:ascii="Times New Roman" w:hAnsi="Times New Roman"/>
                <w:sz w:val="24"/>
              </w:rPr>
              <w:t>Mający zastosowanie bufor wskaźnika dźwigni zgodnie z wartością ujawnianą przez instytucje w załączniku XI do rozwiązań informatycznych EUNB (wiersz 27 wzoru EU LR2 – LRCom: Wspólne ujawnianie wskaźnika dźwigni).</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t>EU 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Pr>
                <w:rFonts w:ascii="Times New Roman" w:hAnsi="Times New Roman"/>
                <w:b/>
                <w:sz w:val="24"/>
              </w:rPr>
              <w:t>Łączny wymóg w zakresie wskaźnika dźwigni (%)</w:t>
            </w:r>
          </w:p>
          <w:p w14:paraId="02FD04C6" w14:textId="7E32495C" w:rsidR="00505188" w:rsidRPr="00232C88" w:rsidRDefault="00505188" w:rsidP="00597D20">
            <w:pPr>
              <w:spacing w:before="60" w:after="120"/>
              <w:jc w:val="both"/>
              <w:rPr>
                <w:rFonts w:ascii="Times New Roman" w:hAnsi="Times New Roman" w:cs="Times New Roman"/>
                <w:sz w:val="24"/>
              </w:rPr>
            </w:pPr>
            <w:r>
              <w:rPr>
                <w:rFonts w:ascii="Times New Roman" w:hAnsi="Times New Roman"/>
                <w:sz w:val="24"/>
              </w:rPr>
              <w:t>Suma wierszy EU 14c i EU 14d.</w:t>
            </w:r>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11" w:name="OLE_LINK1"/>
            <w:r>
              <w:rPr>
                <w:rFonts w:ascii="Times New Roman" w:hAnsi="Times New Roman"/>
                <w:b/>
                <w:sz w:val="24"/>
              </w:rPr>
              <w:t>Całkowite aktywa płynne wysokiej jakości (HQLA) (wartość ważona – średnia)</w:t>
            </w:r>
          </w:p>
          <w:bookmarkEnd w:id="11"/>
          <w:p w14:paraId="55A35EA4" w14:textId="793083C0" w:rsidR="00910181" w:rsidRPr="00232C88" w:rsidRDefault="00910181" w:rsidP="002635C4">
            <w:pPr>
              <w:spacing w:before="60" w:after="120"/>
              <w:jc w:val="both"/>
              <w:rPr>
                <w:rFonts w:ascii="Times New Roman" w:hAnsi="Times New Roman" w:cs="Times New Roman"/>
                <w:sz w:val="24"/>
              </w:rPr>
            </w:pPr>
            <w:r>
              <w:rPr>
                <w:rFonts w:ascii="Times New Roman" w:hAnsi="Times New Roman"/>
                <w:sz w:val="24"/>
              </w:rPr>
              <w:t>Instytucje ujawniają jako wartość ważoną wartość aktywów płynnych zgodnie z art. 9 rozporządzenia delegowanego Komisji (UE) 2015/61</w:t>
            </w:r>
            <w:r>
              <w:rPr>
                <w:rStyle w:val="FootnoteReference"/>
                <w:rFonts w:ascii="Times New Roman" w:hAnsi="Times New Roman" w:cs="Times New Roman"/>
              </w:rPr>
              <w:footnoteReference w:id="4"/>
            </w:r>
            <w:r>
              <w:rPr>
                <w:rFonts w:ascii="Times New Roman" w:hAnsi="Times New Roman"/>
                <w:sz w:val="24"/>
              </w:rPr>
              <w:t xml:space="preserve"> przed zastosowaniem mechanizmu korekty określonego w art. 17 ust. 2 rozporządzenia delegowanego (UE) 2015/61.</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Wypływy środków pieniężnych – Całkowita wartość ważona </w:t>
            </w:r>
          </w:p>
          <w:p w14:paraId="001CA858" w14:textId="412A239E"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t>Instytucje ujawniają sumę wartości ważonej swoich wypływów środków pieniężnych ujawnioną w załączniku XIII (wiersz 16 wzoru EU LIQ1 – Informacje ilościowe na temat wskaźnika pokrycia wypływów netto).</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Pr>
                <w:rFonts w:ascii="Times New Roman" w:hAnsi="Times New Roman"/>
                <w:b/>
                <w:sz w:val="24"/>
              </w:rPr>
              <w:t xml:space="preserve">Wpływy środków pieniężnych – Całkowita wartość ważona </w:t>
            </w:r>
          </w:p>
          <w:p w14:paraId="7CF5A37A" w14:textId="29FD5A91" w:rsidR="009008FD" w:rsidRPr="00232C88" w:rsidRDefault="009008FD" w:rsidP="009008FD">
            <w:pPr>
              <w:spacing w:before="60" w:after="120"/>
              <w:jc w:val="both"/>
              <w:rPr>
                <w:rFonts w:ascii="Times New Roman" w:hAnsi="Times New Roman" w:cs="Times New Roman"/>
                <w:sz w:val="24"/>
              </w:rPr>
            </w:pPr>
            <w:r>
              <w:rPr>
                <w:rFonts w:ascii="Times New Roman" w:hAnsi="Times New Roman"/>
                <w:sz w:val="24"/>
              </w:rPr>
              <w:lastRenderedPageBreak/>
              <w:t>Instytucje ujawniają sumę wartości ważonej swoich wpływów środków pieniężnych ujawnioną w załączniku XIII (wiersz 20 wzoru EU LIQ1 – Informacje ilościowe na temat wskaźnika pokrycia wypływów netto).</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lastRenderedPageBreak/>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Całkowite wypływy środków pieniężnych netto (wartość skorygowana)</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Instytucje ujawniają skorygowaną wartość wypływu płynności netto, która jest równa całkowitym wypływom pomniejszonym o redukcję wpływów całkowicie wyłączonych, pomniejszonym o redukcję wpływów podlegających ograniczeniu wynoszącemu 90 % i pomniejszonym o redukcję wpływów podlegających ograniczeniu wynoszącemu 75 %.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Pr>
                <w:rFonts w:ascii="Times New Roman" w:hAnsi="Times New Roman"/>
                <w:b/>
                <w:sz w:val="24"/>
              </w:rPr>
              <w:t>Wskaźnik pokrycia wypływów netto (%)</w:t>
            </w:r>
          </w:p>
          <w:p w14:paraId="3417B7EB" w14:textId="101E0602" w:rsidR="00910181" w:rsidRPr="00232C88" w:rsidRDefault="00910181" w:rsidP="00910181">
            <w:pPr>
              <w:autoSpaceDE w:val="0"/>
              <w:autoSpaceDN w:val="0"/>
              <w:adjustRightInd w:val="0"/>
              <w:jc w:val="both"/>
              <w:rPr>
                <w:rFonts w:ascii="Times New Roman" w:hAnsi="Times New Roman" w:cs="Times New Roman"/>
                <w:sz w:val="24"/>
              </w:rPr>
            </w:pPr>
            <w:r>
              <w:rPr>
                <w:rFonts w:ascii="Times New Roman" w:hAnsi="Times New Roman"/>
                <w:sz w:val="24"/>
              </w:rPr>
              <w:t>Instytucje ujawniają jako wartość skorygowaną wyrażony procentowo „wskaźnik pokrycia wypływów netto (%)” określony w art. 4 ust. 1 rozporządzenia delegowanego (UE) 2015/61.</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Pr>
                <w:rFonts w:ascii="Times New Roman" w:hAnsi="Times New Roman"/>
                <w:sz w:val="24"/>
              </w:rPr>
              <w:t xml:space="preserve">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Pr>
                <w:rFonts w:ascii="Times New Roman" w:hAnsi="Times New Roman"/>
                <w:b/>
                <w:sz w:val="24"/>
              </w:rPr>
              <w:t>Dostępne stabilne finansowanie ogółem</w:t>
            </w:r>
          </w:p>
          <w:p w14:paraId="0CB3A2BF" w14:textId="5072E411" w:rsidR="009501D6" w:rsidRPr="00232C88" w:rsidRDefault="009501D6" w:rsidP="00AF5BC7">
            <w:pPr>
              <w:autoSpaceDE w:val="0"/>
              <w:autoSpaceDN w:val="0"/>
              <w:adjustRightInd w:val="0"/>
              <w:spacing w:after="120"/>
              <w:jc w:val="both"/>
              <w:rPr>
                <w:rFonts w:ascii="Times New Roman" w:hAnsi="Times New Roman" w:cs="Times New Roman"/>
                <w:sz w:val="24"/>
              </w:rPr>
            </w:pPr>
            <w:r>
              <w:rPr>
                <w:rFonts w:ascii="Times New Roman" w:hAnsi="Times New Roman"/>
                <w:sz w:val="24"/>
              </w:rPr>
              <w:t>Instytucje ujawniają kwotę dostępnego stabilnego finansowania obliczoną zgodnie z częścią szóstą tytuł IV rozdział 3 rozporządzenia (UE) nr 575/2013, ujawnianą w załączniku XIII do rozwiązań informatycznych EUNB (wiersz 14 wzoru EU LIQ2 – Wskaźnik stabilnego finansowania netto).</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Pr>
                <w:rFonts w:ascii="Times New Roman" w:hAnsi="Times New Roman"/>
                <w:b/>
                <w:sz w:val="24"/>
              </w:rPr>
              <w:t>Wymagane stabilne finansowanie ogółem</w:t>
            </w:r>
          </w:p>
          <w:p w14:paraId="205FE1F2" w14:textId="61549A3C" w:rsidR="009501D6" w:rsidRPr="00232C88" w:rsidRDefault="1BE56CD4" w:rsidP="4D769726">
            <w:pPr>
              <w:spacing w:before="60" w:after="120"/>
              <w:jc w:val="both"/>
              <w:rPr>
                <w:rFonts w:ascii="Times New Roman" w:hAnsi="Times New Roman" w:cs="Times New Roman"/>
                <w:sz w:val="24"/>
              </w:rPr>
            </w:pPr>
            <w:r>
              <w:rPr>
                <w:rFonts w:ascii="Times New Roman" w:hAnsi="Times New Roman"/>
                <w:sz w:val="24"/>
              </w:rPr>
              <w:t>Instytucje ujawniają kwotę dostępnego stabilnego finansowania obliczoną zgodnie z częścią szóstą tytuł IV rozdział 4 rozporządzenia (UE) nr 575/2013, ujawnianą w załączniku XIII do rozwiązań informatycznych EUNB (wiersz 33 wzoru EU LIQ2 – Wskaźnik stabilnego finansowania netto).</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Pr>
                <w:rFonts w:ascii="Times New Roman" w:hAnsi="Times New Roman"/>
                <w:b/>
                <w:sz w:val="24"/>
              </w:rPr>
              <w:t>Wskaźnik stabilnego finansowania netto (%)</w:t>
            </w:r>
          </w:p>
          <w:p w14:paraId="16F56415" w14:textId="58990105" w:rsidR="00EA38FE" w:rsidRPr="00232C88" w:rsidRDefault="00EA38FE" w:rsidP="0097538A">
            <w:pPr>
              <w:spacing w:before="60" w:after="120"/>
              <w:jc w:val="both"/>
              <w:rPr>
                <w:rFonts w:ascii="Times New Roman" w:hAnsi="Times New Roman" w:cs="Times New Roman"/>
                <w:sz w:val="24"/>
              </w:rPr>
            </w:pPr>
            <w:r>
              <w:rPr>
                <w:rFonts w:ascii="Times New Roman" w:hAnsi="Times New Roman"/>
                <w:sz w:val="24"/>
              </w:rPr>
              <w:t>Wskaźnik stabilnego finansowania netto obliczany zgodnie z art. 428b rozporządzenia (UE) nr 575/2013.</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rPr>
      </w:pPr>
      <w:r>
        <w:rPr>
          <w:rFonts w:ascii="Times New Roman" w:hAnsi="Times New Roman"/>
          <w:b/>
          <w:sz w:val="24"/>
        </w:rPr>
        <w:t xml:space="preserve">Wzór EU INS1 – Udziały kapitałowe w zakładach ubezpieczeń. </w:t>
      </w:r>
      <w:r>
        <w:rPr>
          <w:rFonts w:ascii="Times New Roman" w:hAnsi="Times New Roman"/>
          <w:sz w:val="24"/>
        </w:rPr>
        <w:t>Format stały.</w:t>
      </w:r>
    </w:p>
    <w:p w14:paraId="385CC150" w14:textId="3B3D9F17" w:rsidR="00B10EE4" w:rsidRPr="00232C88" w:rsidRDefault="00BA25D7"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Instytucje stosują poniższe instrukcje zawarte w niniejszym załączniku w celu wypełnienia wzoru EU INS1 zamieszczonego w załączniku I w zastosowaniu art. 438 lit. f) rozporządzenia (UE) nr 575/2013.</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Oznaczenie kolumny</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lastRenderedPageBreak/>
              <w:t>a</w:t>
            </w:r>
          </w:p>
        </w:tc>
        <w:tc>
          <w:tcPr>
            <w:tcW w:w="7655" w:type="dxa"/>
            <w:vAlign w:val="center"/>
          </w:tcPr>
          <w:p w14:paraId="7249EC0E" w14:textId="77777777"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Wartość ekspozycji</w:t>
            </w:r>
          </w:p>
          <w:p w14:paraId="18F1CB5D" w14:textId="190541F5" w:rsidR="00295952" w:rsidRPr="00232C88" w:rsidRDefault="00295952" w:rsidP="0097538A">
            <w:pPr>
              <w:spacing w:before="60" w:after="120"/>
              <w:jc w:val="both"/>
              <w:rPr>
                <w:rFonts w:ascii="Times New Roman" w:hAnsi="Times New Roman" w:cs="Times New Roman"/>
                <w:sz w:val="24"/>
              </w:rPr>
            </w:pPr>
            <w:r>
              <w:rPr>
                <w:rFonts w:ascii="Times New Roman" w:hAnsi="Times New Roman"/>
                <w:sz w:val="24"/>
              </w:rPr>
              <w:t>Wartość ekspozycji dla instrumentów funduszy własnych posiadanych w jakimkolwiek zakładzie ubezpieczeń, zakładzie reasekuracji lub ubezpieczeniowej spółce holdingowej, których instytucje nie odliczają od swoich funduszy własnych zgodnie z art. 49 rozporządzenia (UE) nr 575/2013 przy obliczaniu swoich wymogów kapitałowych na zasadzie indywidualnej, subskonsolidowanej i skonsolidowanej.</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t>b</w:t>
            </w:r>
          </w:p>
        </w:tc>
        <w:tc>
          <w:tcPr>
            <w:tcW w:w="7655" w:type="dxa"/>
            <w:vAlign w:val="center"/>
          </w:tcPr>
          <w:p w14:paraId="35F05204" w14:textId="21F04E81" w:rsidR="00295952" w:rsidRPr="00726C67" w:rsidRDefault="00295952" w:rsidP="00B2180A">
            <w:pPr>
              <w:spacing w:before="60" w:after="120"/>
              <w:jc w:val="both"/>
              <w:rPr>
                <w:rFonts w:ascii="Times New Roman" w:hAnsi="Times New Roman" w:cs="Times New Roman"/>
                <w:b/>
                <w:bCs/>
                <w:sz w:val="24"/>
              </w:rPr>
            </w:pPr>
            <w:r>
              <w:rPr>
                <w:rFonts w:ascii="Times New Roman" w:hAnsi="Times New Roman"/>
                <w:b/>
                <w:sz w:val="24"/>
              </w:rPr>
              <w:t>Kwota ekspozycji na ryzyko</w:t>
            </w:r>
          </w:p>
          <w:p w14:paraId="5F873619" w14:textId="1505D88C" w:rsidR="00295952" w:rsidRPr="00232C88" w:rsidRDefault="00295952" w:rsidP="00282104">
            <w:pPr>
              <w:spacing w:before="60" w:after="120"/>
              <w:jc w:val="both"/>
              <w:rPr>
                <w:rFonts w:ascii="Times New Roman" w:hAnsi="Times New Roman" w:cs="Times New Roman"/>
                <w:sz w:val="24"/>
              </w:rPr>
            </w:pPr>
            <w:r>
              <w:rPr>
                <w:rFonts w:ascii="Times New Roman" w:hAnsi="Times New Roman"/>
                <w:sz w:val="24"/>
              </w:rPr>
              <w:t>Kwota ekspozycji na ryzyko dla instrumentów funduszy własnych posiadanych w jakimkolwiek zakładzie ubezpieczeń, zakładzie reasekuracji lub ubezpieczeniowej spółce holdingowej, których instytucje nie odliczają od swoich funduszy własnych zgodnie z art. 49 rozporządzenia (UE) nr 575/2013 przy obliczaniu swoich wymogów kapitałowych na zasadzie indywidualnej, subskonsolidowanej i skonsolidowanej.</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Pr>
          <w:rFonts w:ascii="Times New Roman" w:hAnsi="Times New Roman"/>
          <w:b/>
          <w:sz w:val="24"/>
        </w:rPr>
        <w:t xml:space="preserve">Wzór EU INS2 – Informacje konglomeratów finansowych na temat funduszy własnych i współczynnika adekwatności kapitałowej. </w:t>
      </w:r>
      <w:r>
        <w:rPr>
          <w:rFonts w:ascii="Times New Roman" w:hAnsi="Times New Roman"/>
          <w:sz w:val="24"/>
        </w:rPr>
        <w:t>Format stały.</w:t>
      </w:r>
    </w:p>
    <w:p w14:paraId="61F5C281" w14:textId="596FEC3B" w:rsidR="00295952" w:rsidRPr="00232C88" w:rsidRDefault="00295952"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Instytucje stosują poniższe instrukcje zawarte w niniejszym załączniku w celu wypełnienia wzoru EU INS2 zamieszczonego w załączniku I do rozwiązań informatycznych EUNB w zastosowaniu art. 438 lit. g) rozporządzenia (UE) nr 575/2013.</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Pr>
                <w:rFonts w:ascii="Times New Roman" w:hAnsi="Times New Roman"/>
                <w:b/>
                <w:sz w:val="24"/>
              </w:rPr>
              <w:t>Oznaczenie wiersza</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 xml:space="preserve">Dodatkowe wymogi w zakresie funduszy własnych konglomeratu finansowego (kwota) </w:t>
            </w:r>
          </w:p>
          <w:p w14:paraId="7401DE1A" w14:textId="40167C3D" w:rsidR="00295952" w:rsidRPr="00232C88" w:rsidRDefault="000A3A4A" w:rsidP="00704085">
            <w:pPr>
              <w:spacing w:before="60" w:after="120"/>
              <w:jc w:val="both"/>
              <w:rPr>
                <w:rFonts w:ascii="Times New Roman" w:hAnsi="Times New Roman" w:cs="Times New Roman"/>
                <w:sz w:val="24"/>
              </w:rPr>
            </w:pPr>
            <w:r>
              <w:rPr>
                <w:rFonts w:ascii="Times New Roman" w:hAnsi="Times New Roman"/>
                <w:sz w:val="24"/>
              </w:rPr>
              <w:t>Kwota dodatkowych wymogów w zakresie funduszy własnych konglomeratu finansowego obliczona zgodnie z art. 6 dyrektywy 2002/87/WE Parlamentu Europejskiego i Rady</w:t>
            </w:r>
            <w:r>
              <w:rPr>
                <w:rStyle w:val="FootnoteReference"/>
                <w:rFonts w:ascii="Times New Roman" w:hAnsi="Times New Roman" w:cs="Times New Roman"/>
              </w:rPr>
              <w:footnoteReference w:id="5"/>
            </w:r>
            <w:r>
              <w:rPr>
                <w:rFonts w:ascii="Times New Roman" w:hAnsi="Times New Roman"/>
                <w:sz w:val="24"/>
              </w:rPr>
              <w:t xml:space="preserve"> i załącznikiem I do tej dyrektywy w przypadku stosowania metody 1 lub 2 określonej w załączniku I.</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Pr>
                <w:rFonts w:ascii="Times New Roman" w:hAnsi="Times New Roman"/>
                <w:b/>
                <w:sz w:val="24"/>
              </w:rPr>
              <w:t>Współczynnik adekwatności kapitałowej konglomeratu finansowego (%)</w:t>
            </w:r>
          </w:p>
          <w:p w14:paraId="1C3780DF" w14:textId="2B1ECEB3" w:rsidR="00295952" w:rsidRPr="00232C88" w:rsidRDefault="00295952" w:rsidP="00704085">
            <w:pPr>
              <w:spacing w:before="60" w:after="120"/>
              <w:jc w:val="both"/>
              <w:rPr>
                <w:rFonts w:ascii="Times New Roman" w:hAnsi="Times New Roman" w:cs="Times New Roman"/>
                <w:sz w:val="24"/>
              </w:rPr>
            </w:pPr>
            <w:r>
              <w:rPr>
                <w:rFonts w:ascii="Times New Roman" w:hAnsi="Times New Roman"/>
                <w:sz w:val="24"/>
              </w:rPr>
              <w:t>Współczynnik adekwatności kapitałowej konglomeratu finansowego obliczony zgodnie z art. 6 dyrektywy 2002/87/WE i załącznikiem I do tej dyrektywy w przypadku stosowania metody 1 lub 2 określonej w załączniku I.</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Pr>
          <w:rFonts w:ascii="Times New Roman" w:hAnsi="Times New Roman"/>
          <w:b/>
          <w:sz w:val="24"/>
        </w:rPr>
        <w:t xml:space="preserve">Tabela EU OVC – Informacje ICAAP. </w:t>
      </w:r>
      <w:r>
        <w:rPr>
          <w:rFonts w:ascii="Times New Roman" w:hAnsi="Times New Roman"/>
          <w:sz w:val="24"/>
        </w:rPr>
        <w:t>Format elastyczny.</w:t>
      </w:r>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261E4F52" w:rsidR="00D15B1C" w:rsidRPr="00232C88" w:rsidRDefault="00D15B1C" w:rsidP="009260D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Instytucje stosują poniższe instrukcje zawarte w niniejszym załączniku w celu wypełnienia tabeli EU OVC zamieszczonej w załączniku I w zastosowaniu art. 438 lit. a) i c) rozporządzenia (UE) nr 575/2013.</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Pr>
                <w:rFonts w:ascii="Times New Roman" w:hAnsi="Times New Roman"/>
                <w:b/>
                <w:sz w:val="24"/>
              </w:rPr>
              <w:t>Oznaczenie wiersza</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t>a)</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Metoda stosowana do oceny adekwatności kapitału wewnętrznego</w:t>
            </w:r>
          </w:p>
          <w:p w14:paraId="05E23E13" w14:textId="77777777" w:rsidR="00D15B1C" w:rsidRPr="00232C88" w:rsidRDefault="00B05624" w:rsidP="00B05624">
            <w:pPr>
              <w:spacing w:before="60" w:after="120"/>
              <w:jc w:val="both"/>
              <w:rPr>
                <w:rFonts w:ascii="Times New Roman" w:hAnsi="Times New Roman" w:cs="Times New Roman"/>
                <w:sz w:val="24"/>
              </w:rPr>
            </w:pPr>
            <w:r>
              <w:rPr>
                <w:rFonts w:ascii="Times New Roman" w:hAnsi="Times New Roman"/>
                <w:sz w:val="24"/>
              </w:rPr>
              <w:t>Instytucje ujawniają skrótowy opis metody, którą stosują do oceny adekwatności swojego kapitału wewnętrznego do celu wsparcia bieżących i przyszłych działań.</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t>b)</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Pr>
                <w:rFonts w:ascii="Times New Roman" w:hAnsi="Times New Roman"/>
                <w:b/>
                <w:sz w:val="24"/>
              </w:rPr>
              <w:t>Na wniosek odpowiedniego właściwego organu – rezultaty stosowanego przez instytucję procesu oceny adekwatności kapitału wewnętrznego</w:t>
            </w:r>
          </w:p>
          <w:p w14:paraId="32D8B55C" w14:textId="77777777" w:rsidR="00D15B1C" w:rsidRPr="00232C88" w:rsidRDefault="00B05624" w:rsidP="00B2180A">
            <w:pPr>
              <w:spacing w:before="60" w:after="120"/>
              <w:jc w:val="both"/>
              <w:rPr>
                <w:rFonts w:ascii="Times New Roman" w:hAnsi="Times New Roman" w:cs="Times New Roman"/>
                <w:sz w:val="24"/>
              </w:rPr>
            </w:pPr>
            <w:r>
              <w:rPr>
                <w:rFonts w:ascii="Times New Roman" w:hAnsi="Times New Roman"/>
                <w:sz w:val="24"/>
              </w:rPr>
              <w:t>Instytucje ujawniają te informacje wyłącznie na żądanie odpowiedniego właściwego organu.</w:t>
            </w:r>
          </w:p>
        </w:tc>
      </w:tr>
    </w:tbl>
    <w:p w14:paraId="10DD1F8C" w14:textId="28F606EF" w:rsidR="00203C1C" w:rsidRPr="00232C88" w:rsidRDefault="00203C1C">
      <w:pPr>
        <w:rPr>
          <w:rFonts w:ascii="Times New Roman" w:hAnsi="Times New Roman" w:cs="Times New Roman"/>
          <w:b/>
          <w:sz w:val="24"/>
        </w:rPr>
      </w:pPr>
    </w:p>
    <w:p w14:paraId="5A44B512" w14:textId="6E4279E1" w:rsidR="00DC2C46" w:rsidRPr="00232C88" w:rsidRDefault="00DC2C46" w:rsidP="00DC2C46">
      <w:pPr>
        <w:spacing w:after="120"/>
        <w:jc w:val="both"/>
        <w:rPr>
          <w:rFonts w:ascii="Times New Roman" w:hAnsi="Times New Roman" w:cs="Times New Roman"/>
          <w:sz w:val="24"/>
        </w:rPr>
      </w:pPr>
      <w:r>
        <w:rPr>
          <w:rFonts w:ascii="Times New Roman" w:hAnsi="Times New Roman"/>
          <w:b/>
          <w:sz w:val="24"/>
        </w:rPr>
        <w:t xml:space="preserve">Wzór EU CMS1 – Porównanie modelowanej i standardowej kwoty ekspozycji ważonych ryzykiem na poziomie ryzyka. </w:t>
      </w:r>
      <w:r>
        <w:rPr>
          <w:rFonts w:ascii="Times New Roman" w:hAnsi="Times New Roman"/>
          <w:sz w:val="24"/>
        </w:rPr>
        <w:t>Format stały.</w:t>
      </w:r>
    </w:p>
    <w:p w14:paraId="36DAA287" w14:textId="6AC070E1" w:rsidR="0084180E" w:rsidRPr="00232C88" w:rsidRDefault="00DC2C46"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Instytucje stosują poniższe instrukcje zawarte w niniejszym załączniku w celu wypełnienia wzoru EU CMS1 zamieszczonego w załączniku I w zastosowaniu art. 438 lit. d) i da) rozporządzenia (UE) nr 575/2013.</w:t>
      </w:r>
    </w:p>
    <w:p w14:paraId="57705F0E" w14:textId="35F79DC6" w:rsidR="00E86C14" w:rsidRPr="00232C88" w:rsidRDefault="00E86C14" w:rsidP="00F83255">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W niniejszym wzorze informacje ujawniają wyłącznie te instytucje, które stosują dowolny model wewnętrzny zatwierdzony przez właściwy organ do obliczania kwot ekspozycji ważonych ryzykiem i które nie są objęte wyłączeniem przewidzianym w art. 92 ust. 3 akapit drugi rozporządzenia (UE) nr 575/2013.</w:t>
      </w:r>
    </w:p>
    <w:p w14:paraId="022B4D4D" w14:textId="5C9C14ED"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W stosownych przypadkach w opisie dołączonym do wzoru instytucje wyjaśniają, jaki jest wpływ stosowania wymogów kapitałowych i nieodliczania wartości pozycji od kwoty funduszy własnych na obliczenie kwoty funduszy własnych i kwoty ekspozycji ważonych ryzykiem.</w:t>
      </w:r>
    </w:p>
    <w:p w14:paraId="2DEA712B" w14:textId="0B1ED4FA" w:rsidR="00644388" w:rsidRPr="00232C88" w:rsidRDefault="00D07048" w:rsidP="009E1A3F">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 xml:space="preserve">Ponadto, jeżeli ekspozycje objęte metodą IRB zostały, zgodnie z poniższymi instrukcjami dotyczącymi wierszy, wyłączone z kategorii ekspozycji objętych metodą IRB i ujawnione w jednej z kategorii ekspozycji objętych metodą standardową wymienionych we wzorze, instytucje określają w opisie dołączonym do wzoru ich pierwotne kategorie ekspozycji objętych metodą IRB. </w:t>
      </w:r>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4FE9F154" w14:textId="77777777" w:rsidTr="4D769726">
        <w:trPr>
          <w:trHeight w:val="238"/>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rFonts w:ascii="Times New Roman" w:hAnsi="Times New Roman" w:cs="Times New Roman"/>
                <w:b/>
                <w:sz w:val="24"/>
              </w:rPr>
            </w:pPr>
            <w:r>
              <w:rPr>
                <w:rFonts w:ascii="Times New Roman" w:hAnsi="Times New Roman"/>
                <w:b/>
                <w:sz w:val="24"/>
              </w:rPr>
              <w:t>Oznaczenie kolumny</w:t>
            </w:r>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74E16454" w14:textId="77777777" w:rsidTr="4D769726">
        <w:trPr>
          <w:trHeight w:val="680"/>
        </w:trPr>
        <w:tc>
          <w:tcPr>
            <w:tcW w:w="1384" w:type="dxa"/>
          </w:tcPr>
          <w:p w14:paraId="33EF7E61" w14:textId="790317FD" w:rsidR="00351A65" w:rsidRPr="00232C88" w:rsidRDefault="00351A65" w:rsidP="0028295F">
            <w:pPr>
              <w:pStyle w:val="Applicationdirecte"/>
              <w:spacing w:before="60"/>
              <w:jc w:val="center"/>
            </w:pPr>
            <w:r>
              <w:t>a</w:t>
            </w:r>
          </w:p>
        </w:tc>
        <w:tc>
          <w:tcPr>
            <w:tcW w:w="7655" w:type="dxa"/>
            <w:vAlign w:val="center"/>
          </w:tcPr>
          <w:p w14:paraId="0166BCE4" w14:textId="3E30296F"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 xml:space="preserve">Kwoty ekspozycji ważonych ryzykiem w odniesieniu do metod modelowanych, na których stosowanie instytucje mają zgodę od organu nadzoru </w:t>
            </w:r>
          </w:p>
          <w:p w14:paraId="1E62CED4" w14:textId="7081BEE8" w:rsidR="00351A65" w:rsidRPr="00232C88" w:rsidRDefault="00950346" w:rsidP="00950346">
            <w:pPr>
              <w:spacing w:before="60" w:after="120"/>
              <w:jc w:val="both"/>
              <w:rPr>
                <w:rFonts w:ascii="Times New Roman" w:hAnsi="Times New Roman" w:cs="Times New Roman"/>
                <w:sz w:val="24"/>
              </w:rPr>
            </w:pPr>
            <w:r>
              <w:rPr>
                <w:rFonts w:ascii="Times New Roman" w:hAnsi="Times New Roman"/>
                <w:sz w:val="24"/>
              </w:rPr>
              <w:lastRenderedPageBreak/>
              <w:t>Część kwot ekspozycji ważonych ryzykiem obliczonych na podstawie modeli wewnętrznych zatwierdzonych przez właściwy organ.</w:t>
            </w:r>
          </w:p>
        </w:tc>
      </w:tr>
      <w:tr w:rsidR="00232C88" w:rsidRPr="00232C88" w14:paraId="1A199F0E" w14:textId="77777777" w:rsidTr="4D769726">
        <w:trPr>
          <w:trHeight w:val="680"/>
        </w:trPr>
        <w:tc>
          <w:tcPr>
            <w:tcW w:w="1384" w:type="dxa"/>
          </w:tcPr>
          <w:p w14:paraId="385C4F72" w14:textId="40314A24" w:rsidR="00351A65" w:rsidRPr="00232C88" w:rsidRDefault="00351A65" w:rsidP="00351A65">
            <w:pPr>
              <w:pStyle w:val="Applicationdirecte"/>
              <w:spacing w:before="60"/>
              <w:jc w:val="center"/>
            </w:pPr>
            <w:r>
              <w:lastRenderedPageBreak/>
              <w:t>b</w:t>
            </w:r>
          </w:p>
          <w:p w14:paraId="78AEC7BE" w14:textId="100929C8" w:rsidR="00351A65" w:rsidRPr="00232C88" w:rsidRDefault="00351A65" w:rsidP="00351A65">
            <w:pPr>
              <w:pStyle w:val="Applicationdirecte"/>
              <w:spacing w:before="60"/>
              <w:jc w:val="center"/>
            </w:pPr>
          </w:p>
        </w:tc>
        <w:tc>
          <w:tcPr>
            <w:tcW w:w="7655" w:type="dxa"/>
          </w:tcPr>
          <w:p w14:paraId="486091D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Kwoty ekspozycji ważonych ryzykiem w odniesieniu do portfeli, w przypadku których stosuje się metody standardowe</w:t>
            </w:r>
          </w:p>
          <w:p w14:paraId="6431BFCE" w14:textId="53947197" w:rsidR="00351A65" w:rsidRPr="00232C88" w:rsidRDefault="00950346" w:rsidP="00950346">
            <w:pPr>
              <w:spacing w:before="60" w:after="120"/>
              <w:jc w:val="both"/>
              <w:rPr>
                <w:rFonts w:ascii="Times New Roman" w:hAnsi="Times New Roman" w:cs="Times New Roman"/>
                <w:b/>
                <w:sz w:val="24"/>
              </w:rPr>
            </w:pPr>
            <w:r>
              <w:rPr>
                <w:rFonts w:ascii="Times New Roman" w:hAnsi="Times New Roman"/>
                <w:sz w:val="24"/>
              </w:rPr>
              <w:t>Część kwot ekspozycji ważonych ryzykiem obliczonych według metod standardowych.</w:t>
            </w:r>
          </w:p>
        </w:tc>
      </w:tr>
      <w:tr w:rsidR="00232C88" w:rsidRPr="00232C88" w14:paraId="692C5268" w14:textId="77777777" w:rsidTr="4D769726">
        <w:trPr>
          <w:trHeight w:val="680"/>
        </w:trPr>
        <w:tc>
          <w:tcPr>
            <w:tcW w:w="1384" w:type="dxa"/>
          </w:tcPr>
          <w:p w14:paraId="47D9BD13" w14:textId="6C0E8653" w:rsidR="00351A65" w:rsidRPr="00232C88" w:rsidRDefault="00351A65" w:rsidP="00351A65">
            <w:pPr>
              <w:pStyle w:val="Applicationdirecte"/>
              <w:spacing w:before="60"/>
              <w:jc w:val="center"/>
            </w:pPr>
            <w:r>
              <w:t>c</w:t>
            </w:r>
          </w:p>
        </w:tc>
        <w:tc>
          <w:tcPr>
            <w:tcW w:w="7655" w:type="dxa"/>
          </w:tcPr>
          <w:p w14:paraId="6D88AF07" w14:textId="76468D2A" w:rsidR="00351A65" w:rsidRPr="00232C88" w:rsidRDefault="004E19D2" w:rsidP="00351A65">
            <w:pPr>
              <w:spacing w:before="60" w:after="120"/>
              <w:jc w:val="both"/>
              <w:rPr>
                <w:rFonts w:ascii="Times New Roman" w:hAnsi="Times New Roman" w:cs="Times New Roman"/>
                <w:b/>
                <w:sz w:val="24"/>
              </w:rPr>
            </w:pPr>
            <w:r>
              <w:rPr>
                <w:rFonts w:ascii="Times New Roman" w:hAnsi="Times New Roman"/>
                <w:b/>
                <w:sz w:val="24"/>
              </w:rPr>
              <w:t xml:space="preserve">Łączne rzeczywiste kwoty ekspozycji ważonych ryzykiem </w:t>
            </w:r>
          </w:p>
          <w:p w14:paraId="07374A49" w14:textId="776C8579" w:rsidR="00351A65" w:rsidRPr="00232C88" w:rsidRDefault="00E86C14" w:rsidP="00E86C14">
            <w:pPr>
              <w:spacing w:before="60" w:after="120"/>
              <w:jc w:val="both"/>
              <w:rPr>
                <w:rFonts w:ascii="Times New Roman" w:hAnsi="Times New Roman" w:cs="Times New Roman"/>
                <w:sz w:val="24"/>
              </w:rPr>
            </w:pPr>
            <w:r>
              <w:rPr>
                <w:rFonts w:ascii="Times New Roman" w:hAnsi="Times New Roman"/>
                <w:sz w:val="24"/>
              </w:rPr>
              <w:t xml:space="preserve">Suma kolumn </w:t>
            </w:r>
            <w:r>
              <w:rPr>
                <w:rFonts w:ascii="Times New Roman" w:hAnsi="Times New Roman"/>
                <w:i/>
                <w:iCs/>
                <w:sz w:val="24"/>
              </w:rPr>
              <w:t>a</w:t>
            </w:r>
            <w:r>
              <w:rPr>
                <w:rFonts w:ascii="Times New Roman" w:hAnsi="Times New Roman"/>
                <w:sz w:val="24"/>
              </w:rPr>
              <w:t xml:space="preserve"> i </w:t>
            </w:r>
            <w:r>
              <w:rPr>
                <w:rFonts w:ascii="Times New Roman" w:hAnsi="Times New Roman"/>
                <w:i/>
                <w:iCs/>
                <w:sz w:val="24"/>
              </w:rPr>
              <w:t>b</w:t>
            </w:r>
            <w:r>
              <w:rPr>
                <w:rFonts w:ascii="Times New Roman" w:hAnsi="Times New Roman"/>
                <w:sz w:val="24"/>
              </w:rPr>
              <w:t xml:space="preserve">; tj. kwoty ekspozycji ważonych ryzykiem, które instytucje zgłaszają zgodnie z mającymi zastosowanie metodami. Całkowite rzeczywiste kwoty ekspozycji ważonych ryzykiem ujawnione w wierszu 8 stanowią kwotę przed korektą minimalnego progu kapitałowego. </w:t>
            </w:r>
          </w:p>
        </w:tc>
      </w:tr>
      <w:tr w:rsidR="00232C88" w:rsidRPr="00232C88" w14:paraId="4F847923" w14:textId="77777777" w:rsidTr="4D769726">
        <w:trPr>
          <w:trHeight w:val="680"/>
        </w:trPr>
        <w:tc>
          <w:tcPr>
            <w:tcW w:w="1384" w:type="dxa"/>
            <w:vAlign w:val="center"/>
          </w:tcPr>
          <w:p w14:paraId="5A78FA97" w14:textId="03520D20" w:rsidR="00351A65" w:rsidRPr="00232C88" w:rsidRDefault="00351A65" w:rsidP="00351A65">
            <w:pPr>
              <w:pStyle w:val="Applicationdirecte"/>
              <w:spacing w:before="60"/>
              <w:jc w:val="center"/>
            </w:pPr>
            <w:r>
              <w:t>d</w:t>
            </w:r>
          </w:p>
        </w:tc>
        <w:tc>
          <w:tcPr>
            <w:tcW w:w="7655" w:type="dxa"/>
          </w:tcPr>
          <w:p w14:paraId="7278E918"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Kwoty ekspozycji ważonych ryzykiem obliczone przy zastosowaniu pełnej metody standardowej</w:t>
            </w:r>
          </w:p>
          <w:p w14:paraId="483ED9BD" w14:textId="77777777" w:rsidR="00DD7C7A" w:rsidRDefault="6016A13E" w:rsidP="4D769726">
            <w:pPr>
              <w:spacing w:before="60" w:after="120"/>
              <w:jc w:val="both"/>
              <w:rPr>
                <w:rFonts w:ascii="Times New Roman" w:hAnsi="Times New Roman" w:cs="Times New Roman"/>
                <w:sz w:val="24"/>
              </w:rPr>
            </w:pPr>
            <w:r>
              <w:rPr>
                <w:rFonts w:ascii="Times New Roman" w:hAnsi="Times New Roman"/>
                <w:sz w:val="24"/>
              </w:rPr>
              <w:t xml:space="preserve">Kwoty ekspozycji ważonych ryzykiem do celów porównania łącznej kwoty ekspozycji na ryzyko według pełnej metody standardowej (S-TREA) z modelowaną kwotą ekspozycji ważonej ryzykiem, na których stosowanie banki mają zgodę organów nadzoru zgodnie z pakietem Bazylea i zgodnie z wymogami art. 438 lit. da) rozporządzenia (UE) nr 575/2013. </w:t>
            </w:r>
          </w:p>
          <w:p w14:paraId="6908EE47" w14:textId="0FF1BF26"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Instytucje ujawniają kwotę ekspozycji ważonej ryzykiem obliczoną zgodnie z art. 92 ust. 5 i 6 rozporządzenia (UE) nr 575/2013, bez stosowania przepisów przejściowych art. 465 rozporządzenia (UE) nr 575/2013. </w:t>
            </w:r>
          </w:p>
          <w:p w14:paraId="2EB5B6F5" w14:textId="6F0B8F59" w:rsidR="00AB10CF" w:rsidRPr="00232C88" w:rsidRDefault="00AB10CF" w:rsidP="4D769726">
            <w:pPr>
              <w:spacing w:before="60" w:after="120"/>
              <w:jc w:val="both"/>
              <w:rPr>
                <w:rFonts w:ascii="Times New Roman" w:hAnsi="Times New Roman" w:cs="Times New Roman"/>
                <w:sz w:val="24"/>
              </w:rPr>
            </w:pPr>
            <w:r>
              <w:rPr>
                <w:rFonts w:ascii="Times New Roman" w:hAnsi="Times New Roman"/>
                <w:sz w:val="24"/>
              </w:rPr>
              <w:t>Całkowita kwota ujawniona w wierszu 8 będzie podstawą do obliczenia minimalnego progu kapitałowego na koniec okresu przejściowego dotyczącego obliczania minimalnego progu kapitałowego.</w:t>
            </w:r>
          </w:p>
          <w:p w14:paraId="6E324A98" w14:textId="3B49151E" w:rsidR="00AF5BD3" w:rsidRPr="00232C88" w:rsidRDefault="00AF5BD3" w:rsidP="673610D2">
            <w:pPr>
              <w:spacing w:before="60" w:after="120"/>
              <w:jc w:val="both"/>
              <w:rPr>
                <w:rFonts w:ascii="Times New Roman" w:hAnsi="Times New Roman" w:cs="Times New Roman"/>
                <w:b/>
                <w:bCs/>
                <w:sz w:val="24"/>
              </w:rPr>
            </w:pPr>
          </w:p>
        </w:tc>
      </w:tr>
      <w:tr w:rsidR="00232C88" w:rsidRPr="00232C88" w14:paraId="668E4F82" w14:textId="77777777" w:rsidTr="4D769726">
        <w:trPr>
          <w:trHeight w:val="680"/>
        </w:trPr>
        <w:tc>
          <w:tcPr>
            <w:tcW w:w="1384" w:type="dxa"/>
            <w:vAlign w:val="center"/>
          </w:tcPr>
          <w:p w14:paraId="5C689C2C" w14:textId="3FE2D0D9" w:rsidR="00351A65" w:rsidRPr="00232C88" w:rsidRDefault="00351A65" w:rsidP="00351A65">
            <w:pPr>
              <w:pStyle w:val="Applicationdirecte"/>
              <w:spacing w:before="60"/>
              <w:jc w:val="center"/>
            </w:pPr>
            <w:r>
              <w:t>EU d</w:t>
            </w:r>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r>
              <w:rPr>
                <w:rFonts w:ascii="Times New Roman" w:hAnsi="Times New Roman"/>
                <w:b/>
                <w:sz w:val="24"/>
              </w:rPr>
              <w:t xml:space="preserve">Kwoty ekspozycji ważonych ryzykiem stanowiące podstawę minimalnego progu kapitałowego </w:t>
            </w:r>
          </w:p>
          <w:p w14:paraId="4BA6D902" w14:textId="43F99074" w:rsidR="00F35EA5" w:rsidRPr="00232C88" w:rsidRDefault="6FD90119" w:rsidP="4D769726">
            <w:pPr>
              <w:spacing w:before="60" w:after="120"/>
              <w:jc w:val="both"/>
              <w:rPr>
                <w:rFonts w:ascii="Times New Roman" w:hAnsi="Times New Roman" w:cs="Times New Roman"/>
                <w:sz w:val="24"/>
              </w:rPr>
            </w:pPr>
            <w:r>
              <w:rPr>
                <w:rFonts w:ascii="Times New Roman" w:hAnsi="Times New Roman"/>
                <w:sz w:val="24"/>
              </w:rPr>
              <w:t xml:space="preserve">Kwoty ekspozycji ważonych ryzykiem do celów zapewnienia podstawy do obliczenia minimalnego progu kapitałowego zgodnie z wymogami art. 438 lit. d) rozporządzenia (UE) nr 575/2013. Instytucje ujawniają kwotę ekspozycji ważonej ryzykiem obliczoną zgodnie z art. 92 ust. 5 i 6 rozporządzenia (UE) nr 575/2013 po zastosowaniu przepisów przejściowych art. 465 rozporządzenia (UE) nr 575/2013. </w:t>
            </w:r>
          </w:p>
          <w:p w14:paraId="6AB6AEED" w14:textId="3E0F2B04" w:rsidR="00351A65" w:rsidRPr="00232C88" w:rsidRDefault="00C83C5F" w:rsidP="673610D2">
            <w:pPr>
              <w:spacing w:before="60" w:after="120"/>
              <w:jc w:val="both"/>
              <w:rPr>
                <w:rFonts w:ascii="Times New Roman" w:hAnsi="Times New Roman" w:cs="Times New Roman"/>
                <w:sz w:val="24"/>
              </w:rPr>
            </w:pPr>
            <w:r>
              <w:rPr>
                <w:rFonts w:ascii="Times New Roman" w:hAnsi="Times New Roman"/>
                <w:sz w:val="24"/>
              </w:rPr>
              <w:t>Łączna kwota ekspozycji ważonych ryzykiem ujawniona w wierszu 8 stanowi podstawę</w:t>
            </w:r>
            <w:r w:rsidR="007263C1">
              <w:rPr>
                <w:rFonts w:ascii="Times New Roman" w:hAnsi="Times New Roman"/>
                <w:sz w:val="24"/>
              </w:rPr>
              <w:t xml:space="preserve"> </w:t>
            </w:r>
            <w:r>
              <w:rPr>
                <w:rFonts w:ascii="Times New Roman" w:hAnsi="Times New Roman"/>
                <w:sz w:val="24"/>
              </w:rPr>
              <w:t xml:space="preserve">obliczenia minimalnego progu kapitałowego. </w:t>
            </w:r>
          </w:p>
          <w:p w14:paraId="343C355A" w14:textId="1C3BCD00" w:rsidR="00C83C5F" w:rsidRPr="00232C88" w:rsidRDefault="00C83C5F" w:rsidP="00A26EB4">
            <w:pPr>
              <w:spacing w:before="60" w:after="120"/>
              <w:jc w:val="both"/>
              <w:rP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Pr>
                <w:rFonts w:ascii="Times New Roman" w:hAnsi="Times New Roman"/>
                <w:b/>
                <w:sz w:val="24"/>
              </w:rPr>
              <w:t>Oznaczenie wiersza</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r>
              <w:lastRenderedPageBreak/>
              <w:t>1</w:t>
            </w:r>
          </w:p>
        </w:tc>
        <w:tc>
          <w:tcPr>
            <w:tcW w:w="7655" w:type="dxa"/>
            <w:vAlign w:val="center"/>
          </w:tcPr>
          <w:p w14:paraId="6BE15844"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Ryzyko kredytowe (z wyłączeniem ryzyka kredytowego kontrahenta)</w:t>
            </w:r>
          </w:p>
          <w:p w14:paraId="6FB93949" w14:textId="4AA3D61D" w:rsidR="00351A65" w:rsidRPr="00232C88" w:rsidRDefault="71B55015" w:rsidP="4D769726">
            <w:pPr>
              <w:spacing w:before="60" w:after="120"/>
              <w:jc w:val="both"/>
              <w:rPr>
                <w:rFonts w:ascii="Times New Roman" w:hAnsi="Times New Roman" w:cs="Times New Roman"/>
                <w:sz w:val="24"/>
              </w:rPr>
            </w:pPr>
            <w:r>
              <w:rPr>
                <w:rFonts w:ascii="Times New Roman" w:hAnsi="Times New Roman"/>
                <w:sz w:val="24"/>
              </w:rPr>
              <w:t>Kwoty ekspozycji ważonych ryzykiem obliczane zgodnie z częścią trzecią tytuł II rozdziały 1–4 rozporządzenia (UE) nr 575/2013.</w:t>
            </w:r>
          </w:p>
        </w:tc>
      </w:tr>
      <w:tr w:rsidR="00232C88" w:rsidRPr="00232C88" w14:paraId="05203C86" w14:textId="77777777" w:rsidTr="4D769726">
        <w:trPr>
          <w:trHeight w:val="680"/>
        </w:trPr>
        <w:tc>
          <w:tcPr>
            <w:tcW w:w="1384" w:type="dxa"/>
          </w:tcPr>
          <w:p w14:paraId="7D17B1E2" w14:textId="486C4BD0" w:rsidR="00351A65" w:rsidRPr="00232C88" w:rsidRDefault="00351A65" w:rsidP="00254EDB">
            <w:pPr>
              <w:pStyle w:val="Fait"/>
              <w:jc w:val="center"/>
            </w:pPr>
            <w:r>
              <w:t>2</w:t>
            </w:r>
          </w:p>
        </w:tc>
        <w:tc>
          <w:tcPr>
            <w:tcW w:w="7655" w:type="dxa"/>
          </w:tcPr>
          <w:p w14:paraId="193663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Ryzyko kredytowe kontrahenta</w:t>
            </w:r>
          </w:p>
          <w:p w14:paraId="3182E1E1" w14:textId="33BA5B0B" w:rsidR="00351A65"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obliczane zgodnie z częścią trzecią tytuł II rozdział 6 rozporządzenia (UE) nr 575/2013.</w:t>
            </w:r>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r>
              <w:t>3</w:t>
            </w:r>
          </w:p>
        </w:tc>
        <w:tc>
          <w:tcPr>
            <w:tcW w:w="7655" w:type="dxa"/>
          </w:tcPr>
          <w:p w14:paraId="6CFEBE25"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Korekta wyceny kredytowej</w:t>
            </w:r>
          </w:p>
          <w:p w14:paraId="4656E3A0" w14:textId="3193E711" w:rsidR="005B7CFD" w:rsidRPr="00232C88" w:rsidRDefault="71B55015" w:rsidP="4D769726">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obliczane zgodnie z częścią trzecią tytuł VI rozporządzenia (UE) nr 575/2013.</w:t>
            </w:r>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r>
              <w:t>4</w:t>
            </w:r>
          </w:p>
        </w:tc>
        <w:tc>
          <w:tcPr>
            <w:tcW w:w="7655" w:type="dxa"/>
          </w:tcPr>
          <w:p w14:paraId="25F6392F"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Ekspozycje sekurytyzacyjne w portfelu bankowym</w:t>
            </w:r>
          </w:p>
          <w:p w14:paraId="12148115" w14:textId="25CD441A" w:rsidR="005B7CFD" w:rsidRPr="00232C88" w:rsidRDefault="71B55015" w:rsidP="4D769726">
            <w:pPr>
              <w:spacing w:before="60" w:after="120"/>
              <w:jc w:val="both"/>
              <w:rPr>
                <w:rFonts w:ascii="Times New Roman" w:hAnsi="Times New Roman" w:cs="Times New Roman"/>
                <w:sz w:val="24"/>
              </w:rPr>
            </w:pPr>
            <w:r>
              <w:rPr>
                <w:rFonts w:ascii="Times New Roman" w:hAnsi="Times New Roman"/>
                <w:sz w:val="24"/>
              </w:rPr>
              <w:t>Kwoty ekspozycji ważonych ryzykiem obliczane zgodnie z częścią trzecią tytuł II rozdział 5 rozporządzenia (UE) nr 575/2013.</w:t>
            </w:r>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r>
              <w:t>5</w:t>
            </w:r>
          </w:p>
        </w:tc>
        <w:tc>
          <w:tcPr>
            <w:tcW w:w="7655" w:type="dxa"/>
          </w:tcPr>
          <w:p w14:paraId="23CF498B"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Ryzyko rynkowe</w:t>
            </w:r>
          </w:p>
          <w:p w14:paraId="4C641D47" w14:textId="0B6B1BE2" w:rsidR="005B7CFD" w:rsidRPr="00232C88" w:rsidRDefault="7456809E" w:rsidP="4D769726">
            <w:pPr>
              <w:spacing w:before="60" w:after="120"/>
              <w:jc w:val="both"/>
              <w:rPr>
                <w:rFonts w:ascii="Times New Roman" w:eastAsia="Times New Roman" w:hAnsi="Times New Roman" w:cs="Times New Roman"/>
                <w:sz w:val="24"/>
              </w:rPr>
            </w:pPr>
            <w:r>
              <w:rPr>
                <w:rFonts w:ascii="Times New Roman" w:hAnsi="Times New Roman"/>
                <w:sz w:val="24"/>
              </w:rPr>
              <w:t>Kwoty ekspozycji ważonych ryzykiem obliczane zgodnie z częścią trzecią tytuł IV rozporządzenia (UE) nr 575/2013.</w:t>
            </w:r>
          </w:p>
        </w:tc>
      </w:tr>
      <w:tr w:rsidR="00232C88" w:rsidRPr="00232C88" w14:paraId="4C2AD882" w14:textId="77777777" w:rsidTr="4D769726">
        <w:trPr>
          <w:trHeight w:val="557"/>
        </w:trPr>
        <w:tc>
          <w:tcPr>
            <w:tcW w:w="1384" w:type="dxa"/>
          </w:tcPr>
          <w:p w14:paraId="07947594" w14:textId="3C28DF68" w:rsidR="00351A65" w:rsidRPr="00232C88" w:rsidRDefault="00351A65" w:rsidP="00351A65">
            <w:pPr>
              <w:pStyle w:val="Applicationdirecte"/>
              <w:spacing w:before="60"/>
              <w:jc w:val="center"/>
            </w:pPr>
            <w:r>
              <w:t>6</w:t>
            </w:r>
          </w:p>
        </w:tc>
        <w:tc>
          <w:tcPr>
            <w:tcW w:w="7655" w:type="dxa"/>
          </w:tcPr>
          <w:p w14:paraId="009D9DD6"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Ryzyko operacyjne</w:t>
            </w:r>
          </w:p>
          <w:p w14:paraId="656F593F" w14:textId="7FEAA360" w:rsidR="00351A65" w:rsidRPr="00232C88" w:rsidRDefault="7456809E" w:rsidP="4D769726">
            <w:pPr>
              <w:spacing w:before="60" w:after="120"/>
              <w:jc w:val="both"/>
              <w:rPr>
                <w:rFonts w:ascii="Times New Roman" w:hAnsi="Times New Roman" w:cs="Times New Roman"/>
                <w:b/>
                <w:bCs/>
                <w:sz w:val="24"/>
              </w:rPr>
            </w:pPr>
            <w:r>
              <w:rPr>
                <w:rFonts w:ascii="Times New Roman" w:hAnsi="Times New Roman"/>
                <w:sz w:val="24"/>
              </w:rPr>
              <w:t>Kwoty ekspozycji ważonych ryzykiem obliczane zgodnie z częścią trzecią tytuł III rozporządzenia (UE) nr 575/2013.</w:t>
            </w:r>
          </w:p>
        </w:tc>
      </w:tr>
      <w:tr w:rsidR="00232C88" w:rsidRPr="00232C88" w14:paraId="4B14E2DE" w14:textId="77777777" w:rsidTr="4D769726">
        <w:trPr>
          <w:trHeight w:val="557"/>
        </w:trPr>
        <w:tc>
          <w:tcPr>
            <w:tcW w:w="1384" w:type="dxa"/>
          </w:tcPr>
          <w:p w14:paraId="63FE2337" w14:textId="4B7984F2" w:rsidR="00351A65" w:rsidRPr="00232C88" w:rsidRDefault="00351A65" w:rsidP="00351A65">
            <w:pPr>
              <w:pStyle w:val="Applicationdirecte"/>
              <w:spacing w:before="60"/>
              <w:jc w:val="center"/>
            </w:pPr>
            <w:r>
              <w:t>7</w:t>
            </w:r>
          </w:p>
        </w:tc>
        <w:tc>
          <w:tcPr>
            <w:tcW w:w="7655" w:type="dxa"/>
          </w:tcPr>
          <w:p w14:paraId="5DDC7723" w14:textId="77777777" w:rsidR="00950346"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Kwoty innych ekspozycji na ryzyko</w:t>
            </w:r>
          </w:p>
          <w:p w14:paraId="2799E41A" w14:textId="125C8E55" w:rsidR="00351A65" w:rsidRPr="00232C88" w:rsidRDefault="00950346" w:rsidP="00AF5BD3">
            <w:pPr>
              <w:spacing w:before="60" w:after="120"/>
              <w:jc w:val="both"/>
              <w:rPr>
                <w:rFonts w:ascii="Times New Roman" w:hAnsi="Times New Roman" w:cs="Times New Roman"/>
                <w:sz w:val="24"/>
              </w:rPr>
            </w:pPr>
            <w:r>
              <w:rPr>
                <w:rFonts w:ascii="Times New Roman" w:hAnsi="Times New Roman"/>
                <w:sz w:val="24"/>
              </w:rPr>
              <w:t>Kwoty ekspozycji ważonych ryzykiem nieuwzględnione w wierszach 1–6 (np. kwoty ekspozycji ważonych ryzykiem wynikające z ryzyka rozliczenia (wiersz 15 we wzorze OV1) oraz kwoty poniżej progów odliczeń (wiersz 25 we wzorze OV1)).</w:t>
            </w:r>
          </w:p>
        </w:tc>
      </w:tr>
      <w:tr w:rsidR="00351A65" w:rsidRPr="00232C88" w14:paraId="191D5E2D" w14:textId="77777777" w:rsidTr="4D769726">
        <w:trPr>
          <w:trHeight w:val="557"/>
        </w:trPr>
        <w:tc>
          <w:tcPr>
            <w:tcW w:w="1384" w:type="dxa"/>
          </w:tcPr>
          <w:p w14:paraId="473E7834" w14:textId="05FD1FBE" w:rsidR="00351A65" w:rsidRPr="00232C88" w:rsidRDefault="00351A65" w:rsidP="00351A65">
            <w:pPr>
              <w:pStyle w:val="Applicationdirecte"/>
              <w:spacing w:before="60"/>
              <w:jc w:val="center"/>
            </w:pPr>
            <w:r>
              <w:t>8</w:t>
            </w:r>
          </w:p>
        </w:tc>
        <w:tc>
          <w:tcPr>
            <w:tcW w:w="7655" w:type="dxa"/>
          </w:tcPr>
          <w:p w14:paraId="096C8EC9" w14:textId="77777777" w:rsidR="00351A65" w:rsidRPr="00232C88" w:rsidRDefault="00351A65" w:rsidP="00351A65">
            <w:pPr>
              <w:spacing w:before="60" w:after="120"/>
              <w:jc w:val="both"/>
              <w:rPr>
                <w:rFonts w:ascii="Times New Roman" w:hAnsi="Times New Roman" w:cs="Times New Roman"/>
                <w:b/>
                <w:sz w:val="24"/>
              </w:rPr>
            </w:pPr>
            <w:r>
              <w:rPr>
                <w:rFonts w:ascii="Times New Roman" w:hAnsi="Times New Roman"/>
                <w:b/>
                <w:sz w:val="24"/>
              </w:rPr>
              <w:t>Ogółem</w:t>
            </w:r>
          </w:p>
          <w:p w14:paraId="42963FE0" w14:textId="17D5D0F7" w:rsidR="00AF5BD3" w:rsidRPr="00232C88" w:rsidRDefault="00AF5BD3" w:rsidP="00351A65">
            <w:pPr>
              <w:spacing w:before="60" w:after="120"/>
              <w:jc w:val="both"/>
              <w:rPr>
                <w:rFonts w:ascii="Times New Roman" w:hAnsi="Times New Roman" w:cs="Times New Roman"/>
                <w:bCs/>
                <w:sz w:val="24"/>
              </w:rPr>
            </w:pPr>
            <w:r>
              <w:rPr>
                <w:rFonts w:ascii="Times New Roman" w:hAnsi="Times New Roman"/>
                <w:sz w:val="24"/>
              </w:rPr>
              <w:t>Suma wierszy 1–7.</w:t>
            </w:r>
          </w:p>
        </w:tc>
      </w:tr>
    </w:tbl>
    <w:p w14:paraId="367571C1" w14:textId="5871F274" w:rsidR="0090729F" w:rsidRPr="00232C88" w:rsidRDefault="0090729F" w:rsidP="00254EDB">
      <w:pPr>
        <w:pStyle w:val="Titlelevel2"/>
        <w:spacing w:before="120" w:after="120"/>
        <w:ind w:left="66"/>
        <w:rPr>
          <w:rFonts w:ascii="Times New Roman" w:hAnsi="Times New Roman" w:cs="Times New Roman"/>
          <w:color w:val="auto"/>
          <w:sz w:val="24"/>
          <w:lang w:val="en-GB"/>
        </w:rPr>
      </w:pPr>
    </w:p>
    <w:p w14:paraId="1926531C" w14:textId="0BB8D20D" w:rsidR="0090729F" w:rsidRPr="00232C88" w:rsidRDefault="0090729F" w:rsidP="0090729F">
      <w:pPr>
        <w:spacing w:after="120"/>
        <w:jc w:val="both"/>
        <w:rPr>
          <w:rFonts w:ascii="Times New Roman" w:hAnsi="Times New Roman" w:cs="Times New Roman"/>
          <w:sz w:val="24"/>
        </w:rPr>
      </w:pPr>
      <w:r>
        <w:rPr>
          <w:rFonts w:ascii="Times New Roman" w:hAnsi="Times New Roman"/>
          <w:b/>
          <w:sz w:val="24"/>
        </w:rPr>
        <w:t xml:space="preserve">Wzór EU CMS2 – Porównanie modelowanej i standardowej kwoty ekspozycji ważonych ryzykiem w odniesieniu do ryzyka kredytowego na poziomie klasy aktywów. </w:t>
      </w:r>
      <w:r>
        <w:rPr>
          <w:rFonts w:ascii="Times New Roman" w:hAnsi="Times New Roman"/>
          <w:sz w:val="24"/>
        </w:rPr>
        <w:t>Format stały.</w:t>
      </w:r>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Instytucje stosują poniższe instrukcje zawarte w niniejszym załączniku w celu wypełnienia wzoru EU CMS2 zamieszczonego w załączniku I w zastosowaniu art. 438 lit. d) i da) rozporządzenia (UE) nr 575/2013.</w:t>
      </w:r>
    </w:p>
    <w:p w14:paraId="6024D251" w14:textId="19497D47" w:rsidR="004E19D2" w:rsidRPr="00232C88" w:rsidRDefault="004E19D2" w:rsidP="4D769726">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t>Niniejszy wzór ujawniany jest wyłącznie przez te instytucje, które obliczają kwoty ekspozycji ważonych ryzykiem w odniesieniu do ryzyka kredytowego z zastosowaniem metod wewnętrznych ratingów (IRB) zgodnie z częścią trzecią tytuł II rozdział 3 rozporządzenia (UE) nr 575/2013 i które nie są objęte wyłączeniem przewidzianym w art. 92 ust. 3 akapit drugi rozporządzenia (UE) nr 575/2013.</w:t>
      </w:r>
    </w:p>
    <w:p w14:paraId="0BBC334C" w14:textId="77777777" w:rsidR="00054B2E" w:rsidRPr="00232C88" w:rsidRDefault="00054B2E" w:rsidP="00054B2E">
      <w:pPr>
        <w:pStyle w:val="Titlelevel2"/>
        <w:numPr>
          <w:ilvl w:val="0"/>
          <w:numId w:val="14"/>
        </w:numPr>
        <w:spacing w:before="120" w:after="120"/>
        <w:ind w:left="426"/>
        <w:jc w:val="both"/>
        <w:rPr>
          <w:rFonts w:ascii="Times New Roman" w:hAnsi="Times New Roman" w:cs="Times New Roman"/>
          <w:color w:val="auto"/>
          <w:sz w:val="24"/>
        </w:rPr>
      </w:pPr>
      <w:r>
        <w:rPr>
          <w:rFonts w:ascii="Times New Roman" w:hAnsi="Times New Roman"/>
          <w:color w:val="auto"/>
          <w:sz w:val="24"/>
        </w:rPr>
        <w:lastRenderedPageBreak/>
        <w:t>W stosownych przypadkach w opisie dołączonym do wzoru instytucje wyjaśniają, jaki jest wpływ stosowania wymogów kapitałowych i nieodliczania wartości pozycji od kwoty funduszy własnych na obliczenie kwoty funduszy własnych i kwoty ekspozycji ważonych ryzykiem.</w:t>
      </w:r>
    </w:p>
    <w:p w14:paraId="21FDE9C5" w14:textId="77777777" w:rsidR="00054B2E" w:rsidRPr="00232C88" w:rsidRDefault="00054B2E" w:rsidP="00AD7048">
      <w:pPr>
        <w:pStyle w:val="Titlelevel2"/>
        <w:spacing w:before="120" w:after="120"/>
        <w:ind w:left="426"/>
        <w:jc w:val="both"/>
        <w:rP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rFonts w:ascii="Times New Roman" w:hAnsi="Times New Roman" w:cs="Times New Roman"/>
                <w:b/>
                <w:sz w:val="24"/>
              </w:rPr>
            </w:pPr>
            <w:r>
              <w:rPr>
                <w:rFonts w:ascii="Times New Roman" w:hAnsi="Times New Roman"/>
                <w:b/>
                <w:sz w:val="24"/>
              </w:rPr>
              <w:t>Odniesienia prawne i instrukcje</w:t>
            </w:r>
          </w:p>
        </w:tc>
      </w:tr>
      <w:tr w:rsidR="00232C88" w:rsidRPr="00232C88" w14:paraId="71E65357" w14:textId="77777777" w:rsidTr="4D769726">
        <w:trPr>
          <w:trHeight w:val="238"/>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rFonts w:ascii="Times New Roman" w:hAnsi="Times New Roman" w:cs="Times New Roman"/>
                <w:b/>
                <w:sz w:val="24"/>
              </w:rPr>
            </w:pPr>
            <w:r>
              <w:rPr>
                <w:rFonts w:ascii="Times New Roman" w:hAnsi="Times New Roman"/>
                <w:b/>
                <w:sz w:val="24"/>
              </w:rPr>
              <w:t>Oznaczenie kolumny</w:t>
            </w:r>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58CC5B00" w14:textId="77777777" w:rsidTr="4D769726">
        <w:trPr>
          <w:trHeight w:val="1070"/>
        </w:trPr>
        <w:tc>
          <w:tcPr>
            <w:tcW w:w="1384" w:type="dxa"/>
          </w:tcPr>
          <w:p w14:paraId="5C1A8115" w14:textId="2981EF66" w:rsidR="00994B4F" w:rsidRPr="00232C88" w:rsidRDefault="00994B4F" w:rsidP="00994B4F">
            <w:pPr>
              <w:pStyle w:val="Applicationdirecte"/>
              <w:spacing w:before="60"/>
              <w:jc w:val="center"/>
            </w:pPr>
            <w:r>
              <w:t>a</w:t>
            </w:r>
          </w:p>
        </w:tc>
        <w:tc>
          <w:tcPr>
            <w:tcW w:w="7655" w:type="dxa"/>
            <w:vAlign w:val="center"/>
          </w:tcPr>
          <w:p w14:paraId="35692F32" w14:textId="62C87455"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Kwoty ekspozycji ważonych ryzykiem w odniesieniu do metod modelowanych, na których stosowanie instytucje mają zgodę od organu nadzoru </w:t>
            </w:r>
          </w:p>
          <w:p w14:paraId="746C8FE1" w14:textId="71AD5C03" w:rsidR="00994B4F" w:rsidRPr="00232C88" w:rsidRDefault="00994B4F" w:rsidP="00994B4F">
            <w:pPr>
              <w:spacing w:before="60" w:after="120"/>
              <w:jc w:val="both"/>
              <w:rPr>
                <w:rFonts w:ascii="Times New Roman" w:hAnsi="Times New Roman" w:cs="Times New Roman"/>
                <w:sz w:val="24"/>
              </w:rPr>
            </w:pPr>
            <w:r>
              <w:rPr>
                <w:rFonts w:ascii="Times New Roman" w:hAnsi="Times New Roman"/>
                <w:sz w:val="24"/>
              </w:rPr>
              <w:t>Część kwot ekspozycji ważonych ryzykiem obliczonych z zastosowaniem metod wewnętrznych ratingów (IRB) zatwierdzonych przez właściwy organ.</w:t>
            </w:r>
          </w:p>
        </w:tc>
      </w:tr>
      <w:tr w:rsidR="00232C88" w:rsidRPr="00232C88" w14:paraId="7C21C2D4" w14:textId="77777777" w:rsidTr="4D769726">
        <w:trPr>
          <w:trHeight w:val="680"/>
        </w:trPr>
        <w:tc>
          <w:tcPr>
            <w:tcW w:w="1384" w:type="dxa"/>
          </w:tcPr>
          <w:p w14:paraId="1B01229F" w14:textId="77777777" w:rsidR="00994B4F" w:rsidRPr="00232C88" w:rsidRDefault="00994B4F" w:rsidP="00994B4F">
            <w:pPr>
              <w:pStyle w:val="Applicationdirecte"/>
              <w:spacing w:before="60"/>
              <w:jc w:val="center"/>
            </w:pPr>
            <w:r>
              <w:t>b</w:t>
            </w:r>
          </w:p>
          <w:p w14:paraId="1C5FD6DF" w14:textId="77777777" w:rsidR="00994B4F" w:rsidRPr="00232C88" w:rsidRDefault="00994B4F" w:rsidP="00994B4F">
            <w:pPr>
              <w:pStyle w:val="Applicationdirecte"/>
              <w:spacing w:before="60"/>
              <w:jc w:val="center"/>
            </w:pPr>
          </w:p>
        </w:tc>
        <w:tc>
          <w:tcPr>
            <w:tcW w:w="7655" w:type="dxa"/>
          </w:tcPr>
          <w:p w14:paraId="3B57AD76" w14:textId="6473A643"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Kwoty ekspozycji ważonych ryzykiem w odniesieniu do kolumny </w:t>
            </w:r>
            <w:r>
              <w:rPr>
                <w:rFonts w:ascii="Times New Roman" w:hAnsi="Times New Roman"/>
                <w:b/>
                <w:i/>
                <w:iCs/>
                <w:sz w:val="24"/>
              </w:rPr>
              <w:t>a</w:t>
            </w:r>
            <w:r>
              <w:rPr>
                <w:rFonts w:ascii="Times New Roman" w:hAnsi="Times New Roman"/>
                <w:b/>
                <w:sz w:val="24"/>
              </w:rPr>
              <w:t xml:space="preserve"> po przeliczeniu z zastosowaniem metody standardowej</w:t>
            </w:r>
          </w:p>
          <w:p w14:paraId="23C2E1CF" w14:textId="66F20ED8" w:rsidR="00994B4F" w:rsidRPr="00232C88" w:rsidRDefault="00994B4F" w:rsidP="004E19D2">
            <w:pPr>
              <w:spacing w:before="60" w:after="120"/>
              <w:jc w:val="both"/>
              <w:rPr>
                <w:rFonts w:ascii="Times New Roman" w:hAnsi="Times New Roman" w:cs="Times New Roman"/>
                <w:b/>
                <w:sz w:val="24"/>
              </w:rPr>
            </w:pPr>
            <w:r>
              <w:rPr>
                <w:rFonts w:ascii="Times New Roman" w:hAnsi="Times New Roman"/>
                <w:sz w:val="24"/>
              </w:rPr>
              <w:t xml:space="preserve">Kwoty ekspozycji ważonych ryzykiem obliczone przy zastosowaniu metod IRB zatwierdzonych przez właściwy organ i podane w kolumnie </w:t>
            </w:r>
            <w:r>
              <w:rPr>
                <w:rFonts w:ascii="Times New Roman" w:hAnsi="Times New Roman"/>
                <w:i/>
                <w:iCs/>
                <w:sz w:val="24"/>
              </w:rPr>
              <w:t>a</w:t>
            </w:r>
            <w:r>
              <w:rPr>
                <w:rFonts w:ascii="Times New Roman" w:hAnsi="Times New Roman"/>
                <w:sz w:val="24"/>
              </w:rPr>
              <w:t xml:space="preserve"> po przeliczeniu z zastosowaniem metody standardowej. Innymi słowy, odpowiednia kwota ekspozycji ważonej ryzykiem według metody standardowej dla kolumny </w:t>
            </w:r>
            <w:r>
              <w:rPr>
                <w:rFonts w:ascii="Times New Roman" w:hAnsi="Times New Roman"/>
                <w:i/>
                <w:iCs/>
                <w:sz w:val="24"/>
              </w:rPr>
              <w:t>a</w:t>
            </w:r>
            <w:r>
              <w:rPr>
                <w:rFonts w:ascii="Times New Roman" w:hAnsi="Times New Roman"/>
                <w:sz w:val="24"/>
              </w:rPr>
              <w:t xml:space="preserve">. </w:t>
            </w:r>
          </w:p>
        </w:tc>
      </w:tr>
      <w:tr w:rsidR="00232C88" w:rsidRPr="00232C88" w14:paraId="1F176A6F" w14:textId="77777777" w:rsidTr="4D769726">
        <w:trPr>
          <w:trHeight w:val="680"/>
        </w:trPr>
        <w:tc>
          <w:tcPr>
            <w:tcW w:w="1384" w:type="dxa"/>
          </w:tcPr>
          <w:p w14:paraId="36AC8644" w14:textId="00AFD014" w:rsidR="00994B4F" w:rsidRPr="00232C88" w:rsidRDefault="00994B4F" w:rsidP="00994B4F">
            <w:pPr>
              <w:pStyle w:val="Applicationdirecte"/>
              <w:spacing w:before="60"/>
              <w:jc w:val="center"/>
            </w:pPr>
            <w:r>
              <w:t>c</w:t>
            </w:r>
          </w:p>
        </w:tc>
        <w:tc>
          <w:tcPr>
            <w:tcW w:w="7655" w:type="dxa"/>
          </w:tcPr>
          <w:p w14:paraId="780C998F" w14:textId="70BDCFF8" w:rsidR="00994B4F" w:rsidRPr="00232C88" w:rsidRDefault="004E19D2" w:rsidP="00994B4F">
            <w:pPr>
              <w:spacing w:before="60" w:after="120"/>
              <w:jc w:val="both"/>
              <w:rPr>
                <w:rFonts w:ascii="Times New Roman" w:hAnsi="Times New Roman" w:cs="Times New Roman"/>
                <w:b/>
                <w:sz w:val="24"/>
              </w:rPr>
            </w:pPr>
            <w:r>
              <w:rPr>
                <w:rFonts w:ascii="Times New Roman" w:hAnsi="Times New Roman"/>
                <w:b/>
                <w:sz w:val="24"/>
              </w:rPr>
              <w:t xml:space="preserve">Łączne rzeczywiste kwoty ekspozycji ważonych ryzykiem </w:t>
            </w:r>
          </w:p>
          <w:p w14:paraId="13A79EFF" w14:textId="377057AF" w:rsidR="00994B4F" w:rsidRPr="00232C88" w:rsidRDefault="00E86C14" w:rsidP="001B30FD">
            <w:pPr>
              <w:spacing w:before="60" w:after="120"/>
              <w:jc w:val="both"/>
              <w:rPr>
                <w:rFonts w:ascii="Times New Roman" w:hAnsi="Times New Roman" w:cs="Times New Roman"/>
                <w:b/>
                <w:sz w:val="24"/>
              </w:rPr>
            </w:pPr>
            <w:r>
              <w:rPr>
                <w:rFonts w:ascii="Times New Roman" w:hAnsi="Times New Roman"/>
                <w:sz w:val="24"/>
              </w:rPr>
              <w:t>Kwoty ekspozycji ważonych ryzykiem, które instytucje zgłaszają jako rzeczywiste wymogi. Suma kwot ekspozycji ważonych ryzykiem przy zastosowaniu metod IRB, na których stosowanie instytucje mają zgodę organów nadzoru, oraz kwoty ekspozycji ważonych ryzykiem według metod standardowych.</w:t>
            </w:r>
          </w:p>
        </w:tc>
      </w:tr>
      <w:tr w:rsidR="00232C88" w:rsidRPr="00232C88" w14:paraId="10BA21EE" w14:textId="77777777" w:rsidTr="4D769726">
        <w:trPr>
          <w:trHeight w:val="680"/>
        </w:trPr>
        <w:tc>
          <w:tcPr>
            <w:tcW w:w="1384" w:type="dxa"/>
            <w:vAlign w:val="center"/>
          </w:tcPr>
          <w:p w14:paraId="79B964DE" w14:textId="38CF8E84" w:rsidR="00994B4F" w:rsidRPr="00232C88" w:rsidRDefault="00994B4F" w:rsidP="00994B4F">
            <w:pPr>
              <w:pStyle w:val="Applicationdirecte"/>
              <w:spacing w:before="60"/>
              <w:jc w:val="center"/>
            </w:pPr>
            <w:r>
              <w:t>d</w:t>
            </w:r>
          </w:p>
        </w:tc>
        <w:tc>
          <w:tcPr>
            <w:tcW w:w="7655" w:type="dxa"/>
          </w:tcPr>
          <w:p w14:paraId="12F263E0" w14:textId="77777777"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Kwoty ekspozycji ważonych ryzykiem obliczone przy zastosowaniu pełnej metody standardowej</w:t>
            </w:r>
          </w:p>
          <w:p w14:paraId="023D1C65" w14:textId="77777777" w:rsidR="00192044" w:rsidRDefault="6FD90119" w:rsidP="4D769726">
            <w:pPr>
              <w:spacing w:before="60" w:after="120"/>
              <w:jc w:val="both"/>
              <w:rPr>
                <w:rFonts w:ascii="Times New Roman" w:hAnsi="Times New Roman" w:cs="Times New Roman"/>
                <w:sz w:val="24"/>
              </w:rPr>
            </w:pPr>
            <w:r>
              <w:rPr>
                <w:rFonts w:ascii="Times New Roman" w:hAnsi="Times New Roman"/>
                <w:sz w:val="24"/>
              </w:rPr>
              <w:t xml:space="preserve">Kwoty ekspozycji ważonych ryzykiem do celów porównania łącznej kwoty ekspozycji na ryzyko w odniesieniu do ryzyka kredytowego według pełnej metody standardowej (S-RWEA) na poziomie klasy aktywów z odpowiedną modelowaną kwotą ekspozycji ważonej ryzykiem, na których stosowanie banki mają zgodę organów nadzoru zgodnie z pakietem Bazylea i zgodnie z wymogami art. 438 lit. da) rozporządzenia (UE) nr 575/2013. </w:t>
            </w:r>
          </w:p>
          <w:p w14:paraId="63C23AE2" w14:textId="72D220B1" w:rsidR="00AC7521" w:rsidRPr="00232C88" w:rsidRDefault="007727DF" w:rsidP="4D769726">
            <w:pPr>
              <w:spacing w:before="60" w:after="120"/>
              <w:jc w:val="both"/>
              <w:rPr>
                <w:rFonts w:ascii="Times New Roman" w:hAnsi="Times New Roman" w:cs="Times New Roman"/>
                <w:sz w:val="24"/>
              </w:rPr>
            </w:pPr>
            <w:r>
              <w:rPr>
                <w:rFonts w:ascii="Times New Roman" w:hAnsi="Times New Roman"/>
                <w:sz w:val="24"/>
              </w:rPr>
              <w:t xml:space="preserve">Instytucje ujawniają kwotę ekspozycji ważonej ryzykiem obliczoną zgodnie z art. 92 ust. 5 i 6 rozporządzenia (UE) nr 575/2013, bez stosowania przepisów przejściowych art. 465 rozporządzenia (UE) nr 575/2013. </w:t>
            </w:r>
          </w:p>
          <w:p w14:paraId="585F96E7" w14:textId="5936CF82" w:rsidR="00AF5BD3" w:rsidRPr="00232C88" w:rsidRDefault="00AF5BD3" w:rsidP="673610D2">
            <w:pPr>
              <w:spacing w:before="60" w:after="120"/>
              <w:jc w:val="both"/>
              <w:rPr>
                <w:rFonts w:ascii="Times New Roman" w:hAnsi="Times New Roman" w:cs="Times New Roman"/>
                <w:sz w:val="24"/>
                <w:lang w:val="en-US"/>
              </w:rPr>
            </w:pPr>
          </w:p>
        </w:tc>
      </w:tr>
      <w:tr w:rsidR="00232C88" w:rsidRPr="00232C88" w14:paraId="55FA4A88" w14:textId="77777777" w:rsidTr="4D769726">
        <w:trPr>
          <w:trHeight w:val="680"/>
        </w:trPr>
        <w:tc>
          <w:tcPr>
            <w:tcW w:w="1384" w:type="dxa"/>
            <w:vAlign w:val="center"/>
          </w:tcPr>
          <w:p w14:paraId="6EDA1687" w14:textId="63C9DF5F" w:rsidR="00994B4F" w:rsidRPr="00232C88" w:rsidRDefault="00994B4F" w:rsidP="00994B4F">
            <w:pPr>
              <w:pStyle w:val="Applicationdirecte"/>
              <w:spacing w:before="60"/>
              <w:jc w:val="center"/>
            </w:pPr>
            <w:r>
              <w:t>EU d</w:t>
            </w:r>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r>
              <w:rPr>
                <w:rFonts w:ascii="Times New Roman" w:hAnsi="Times New Roman"/>
                <w:b/>
                <w:sz w:val="24"/>
              </w:rPr>
              <w:t xml:space="preserve">Kwoty ekspozycji ważonych ryzykiem stanowiące podstawę minimalnego progu kapitałowego </w:t>
            </w:r>
          </w:p>
          <w:p w14:paraId="6EB91D3B" w14:textId="7D4487D6" w:rsidR="00AC7521" w:rsidRPr="00232C88" w:rsidRDefault="6FD90119" w:rsidP="4D769726">
            <w:pPr>
              <w:spacing w:before="60" w:after="120"/>
              <w:jc w:val="both"/>
              <w:rPr>
                <w:rFonts w:ascii="Times New Roman" w:hAnsi="Times New Roman" w:cs="Times New Roman"/>
                <w:sz w:val="24"/>
              </w:rPr>
            </w:pPr>
            <w:r>
              <w:rPr>
                <w:rFonts w:ascii="Times New Roman" w:hAnsi="Times New Roman"/>
                <w:sz w:val="24"/>
              </w:rPr>
              <w:lastRenderedPageBreak/>
              <w:t xml:space="preserve">Kwoty ekspozycji ważonych ryzykiem do celów zapewnienia podstawy do obliczenia minimalnego progu kapitałowego zgodnie z wymogami art. 438 lit. d) rozporządzenia (UE) nr 575/2013. Instytucje ujawniają kwotę ekspozycji ważonej ryzykiem obliczoną zgodnie z art. 92 ust. 5 i 6 rozporządzenia (UE) nr 575/2013, z zastosowaniem przepisów przejściowych art. 465 rozporządzenia (UE) nr 575/2013. </w:t>
            </w:r>
          </w:p>
          <w:p w14:paraId="3F9F1BCC" w14:textId="0069FEBF" w:rsidR="00AF5BD3" w:rsidRPr="00232C88" w:rsidRDefault="00AF5BD3" w:rsidP="00563BE7">
            <w:pPr>
              <w:spacing w:before="60" w:after="120"/>
              <w:jc w:val="both"/>
              <w:rPr>
                <w:rFonts w:ascii="Times New Roman" w:hAnsi="Times New Roman" w:cs="Times New Roman"/>
                <w:b/>
                <w:sz w:val="24"/>
              </w:rPr>
            </w:pPr>
          </w:p>
        </w:tc>
      </w:tr>
      <w:tr w:rsidR="00232C88" w:rsidRPr="00232C88" w14:paraId="0D3BA471"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rFonts w:ascii="Times New Roman" w:hAnsi="Times New Roman" w:cs="Times New Roman"/>
                <w:b/>
                <w:sz w:val="24"/>
              </w:rPr>
            </w:pPr>
            <w:r>
              <w:rPr>
                <w:rFonts w:ascii="Times New Roman" w:hAnsi="Times New Roman"/>
                <w:b/>
                <w:sz w:val="24"/>
              </w:rPr>
              <w:lastRenderedPageBreak/>
              <w:t>Odniesienia prawne i instrukcje</w:t>
            </w:r>
          </w:p>
        </w:tc>
      </w:tr>
      <w:tr w:rsidR="00232C88" w:rsidRPr="00232C88" w14:paraId="35A90A29" w14:textId="77777777" w:rsidTr="4D769726">
        <w:trPr>
          <w:trHeight w:val="238"/>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rFonts w:ascii="Times New Roman" w:hAnsi="Times New Roman" w:cs="Times New Roman"/>
                <w:b/>
                <w:bCs/>
                <w:sz w:val="24"/>
              </w:rPr>
            </w:pPr>
            <w:r>
              <w:rPr>
                <w:rFonts w:ascii="Times New Roman" w:hAnsi="Times New Roman"/>
                <w:b/>
                <w:sz w:val="24"/>
              </w:rPr>
              <w:t>Oznaczenie wiersza</w:t>
            </w:r>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rFonts w:ascii="Times New Roman" w:hAnsi="Times New Roman" w:cs="Times New Roman"/>
                <w:sz w:val="24"/>
              </w:rPr>
            </w:pPr>
            <w:r>
              <w:rPr>
                <w:rFonts w:ascii="Times New Roman" w:hAnsi="Times New Roman"/>
                <w:b/>
                <w:sz w:val="24"/>
              </w:rPr>
              <w:t>Wyjaśnienie</w:t>
            </w:r>
          </w:p>
        </w:tc>
      </w:tr>
      <w:tr w:rsidR="00232C88" w:rsidRPr="00232C88" w14:paraId="4A8AA473" w14:textId="77777777" w:rsidTr="4D769726">
        <w:trPr>
          <w:trHeight w:val="680"/>
        </w:trPr>
        <w:tc>
          <w:tcPr>
            <w:tcW w:w="1384" w:type="dxa"/>
          </w:tcPr>
          <w:p w14:paraId="30F78516" w14:textId="4A43D40C" w:rsidR="00351A65" w:rsidRPr="00232C88" w:rsidRDefault="00351A65" w:rsidP="00351A65">
            <w:pPr>
              <w:pStyle w:val="Applicationdirecte"/>
              <w:spacing w:before="60"/>
              <w:jc w:val="center"/>
            </w:pPr>
            <w:r>
              <w:t>1, EU 1a, EU 1b, EU 1c, EU 1d, 2, 3,5, 5.1, 5.2, EU 5a, EU 5b, EU 5c, 6, 6.1, EU 6.1a, EU 6.1b,EU 7a, EU 7b, EU 7c, EU 7d, EU 7e, EU 7f, 8</w:t>
            </w:r>
          </w:p>
        </w:tc>
        <w:tc>
          <w:tcPr>
            <w:tcW w:w="7655" w:type="dxa"/>
          </w:tcPr>
          <w:p w14:paraId="73A562A1" w14:textId="272AA28F" w:rsidR="00192044" w:rsidRDefault="0046019D" w:rsidP="00A02839">
            <w:pPr>
              <w:spacing w:before="60" w:after="120"/>
              <w:jc w:val="both"/>
              <w:rPr>
                <w:rFonts w:ascii="Times New Roman" w:hAnsi="Times New Roman" w:cs="Times New Roman"/>
                <w:sz w:val="24"/>
              </w:rPr>
            </w:pPr>
            <w:r>
              <w:rPr>
                <w:rFonts w:ascii="Times New Roman" w:hAnsi="Times New Roman"/>
                <w:sz w:val="24"/>
              </w:rPr>
              <w:t xml:space="preserve">Instytucje uwzględniają podział kwot ekspozycji ważonych ryzykiem według kategorii ekspozycji i subekspozycji w rozumieniu art. 147 rozporządzenia (UE) nr 575/2013. </w:t>
            </w:r>
          </w:p>
          <w:p w14:paraId="6D77E411" w14:textId="48760B89" w:rsidR="008C231E" w:rsidRPr="00232C88" w:rsidRDefault="00091AA5" w:rsidP="00A02839">
            <w:pPr>
              <w:spacing w:before="60" w:after="120"/>
              <w:jc w:val="both"/>
              <w:rPr>
                <w:rFonts w:ascii="Times New Roman" w:hAnsi="Times New Roman" w:cs="Times New Roman"/>
                <w:sz w:val="24"/>
              </w:rPr>
            </w:pPr>
            <w:r>
              <w:rPr>
                <w:rFonts w:ascii="Times New Roman" w:hAnsi="Times New Roman"/>
                <w:sz w:val="24"/>
              </w:rPr>
              <w:t>W przypadku gdy ekspozycje objęte metodą IRB zostałyby przypisane do innej kategorii ekspozycji objętych metodą standardową (SA), ekspozycje objęte metodą IRB wyłącza się z ich kategorii ekspozycji objętych metodą IRB i ujawnia się je w jednej z następujących kategorii ekspozycji objętych metodą standardową zdefiniowanych zgodnie z art. 112 rozporządzenia (UE) nr 575/2013:</w:t>
            </w:r>
          </w:p>
          <w:p w14:paraId="3C3411A5" w14:textId="77777777" w:rsidR="00192044" w:rsidRPr="00192044" w:rsidRDefault="00AB7318"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zaklasyfikowane jako ekspozycje wobec wielostronnych banków rozwoju według metody standardowej;</w:t>
            </w:r>
          </w:p>
          <w:p w14:paraId="3FAF52BD" w14:textId="27F6A566" w:rsidR="00E40751" w:rsidRPr="00192044" w:rsidRDefault="02FD1F9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zaklasyfikowane jako ekspozycje wobec organizacji międzynarodowych według metody standardowej;</w:t>
            </w:r>
          </w:p>
          <w:p w14:paraId="112B3885" w14:textId="45E9A8B5" w:rsidR="009662C5" w:rsidRPr="00192044" w:rsidRDefault="009662C5" w:rsidP="00192044">
            <w:pPr>
              <w:pStyle w:val="ListParagraph"/>
              <w:numPr>
                <w:ilvl w:val="0"/>
                <w:numId w:val="80"/>
              </w:numPr>
              <w:spacing w:before="60" w:after="120"/>
              <w:jc w:val="both"/>
              <w:rPr>
                <w:rFonts w:ascii="Times New Roman" w:hAnsi="Times New Roman"/>
                <w:sz w:val="24"/>
              </w:rPr>
            </w:pPr>
            <w:r>
              <w:rPr>
                <w:rFonts w:ascii="Times New Roman" w:hAnsi="Times New Roman"/>
                <w:sz w:val="24"/>
              </w:rPr>
              <w:t>zaklasyfikowane jako ekspozycje zabezpieczone nieruchomościami i ekspozycje ADC według metody standardowej;</w:t>
            </w:r>
          </w:p>
          <w:p w14:paraId="2EFC3839" w14:textId="6E331C86" w:rsidR="009662C5" w:rsidRPr="00192044" w:rsidRDefault="009662C5"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zaklasyfikowane według metody standardowej jako ekspozycje, których dotyczy niewykonanie zobowiązania;</w:t>
            </w:r>
          </w:p>
          <w:p w14:paraId="562F01DF" w14:textId="29AB0564"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zaklasyfikowane jako ekspozycje z tytułu długu podporządkowanego według metody standardowej;</w:t>
            </w:r>
          </w:p>
          <w:p w14:paraId="78D8C21E" w14:textId="20FAA512" w:rsidR="0056332E" w:rsidRPr="00192044" w:rsidRDefault="0056332E" w:rsidP="00192044">
            <w:pPr>
              <w:pStyle w:val="ListParagraph"/>
              <w:numPr>
                <w:ilvl w:val="0"/>
                <w:numId w:val="80"/>
              </w:numPr>
              <w:spacing w:before="60" w:after="120"/>
              <w:jc w:val="both"/>
              <w:rPr>
                <w:rFonts w:ascii="Times New Roman" w:hAnsi="Times New Roman"/>
                <w:bCs/>
                <w:sz w:val="24"/>
              </w:rPr>
            </w:pPr>
            <w:r>
              <w:rPr>
                <w:rFonts w:ascii="Times New Roman" w:hAnsi="Times New Roman"/>
                <w:sz w:val="24"/>
              </w:rPr>
              <w:t xml:space="preserve">zaklasyfikowane jako ekspozycje z tytułu obligacji zabezpieczonych według metody standardowej </w:t>
            </w:r>
            <w:r>
              <w:rPr>
                <w:rFonts w:ascii="Times New Roman" w:hAnsi="Times New Roman"/>
                <w:sz w:val="24"/>
              </w:rPr>
              <w:br/>
              <w:t>zaklasyfikowane jako ekspozycje z tytułu należności od instytucji i przedsiębiorstw posiadających krótkoterminową ocenę kredytową według metody standardowej.</w:t>
            </w:r>
          </w:p>
          <w:p w14:paraId="71BDF450" w14:textId="7DC7998E" w:rsidR="00700A5A" w:rsidRPr="00232C88" w:rsidRDefault="00700A5A" w:rsidP="00700A5A">
            <w:pPr>
              <w:pStyle w:val="Default"/>
              <w:spacing w:after="120"/>
              <w:jc w:val="both"/>
              <w:rPr>
                <w:rFonts w:ascii="Times New Roman" w:hAnsi="Times New Roman" w:cs="Times New Roman"/>
                <w:color w:val="auto"/>
              </w:rPr>
            </w:pPr>
            <w:r>
              <w:rPr>
                <w:rFonts w:ascii="Times New Roman" w:hAnsi="Times New Roman"/>
                <w:color w:val="auto"/>
              </w:rPr>
              <w:t>W odniesieniu do kategorii ekspozycji „ekspozycje wobec przedsiębiorstw” instytucje ujawniają również sumy cząstkowe ekspozycji objętych metodą F-IRB i ekspozycji objętych metodą A-IRB w wierszach 5.1 i 5.2 niniejszego wzoru.</w:t>
            </w:r>
          </w:p>
          <w:p w14:paraId="2F3C330C" w14:textId="328A18AC" w:rsidR="00D67004" w:rsidRPr="00232C88" w:rsidRDefault="00D67004" w:rsidP="00700A5A">
            <w:pPr>
              <w:pStyle w:val="Default"/>
              <w:spacing w:after="120"/>
              <w:jc w:val="both"/>
              <w:rPr>
                <w:rFonts w:ascii="Times New Roman" w:hAnsi="Times New Roman" w:cs="Times New Roman"/>
                <w:color w:val="auto"/>
              </w:rPr>
            </w:pPr>
            <w:r>
              <w:rPr>
                <w:rFonts w:ascii="Times New Roman" w:hAnsi="Times New Roman"/>
                <w:color w:val="auto"/>
              </w:rPr>
              <w:t>Wiersze 4 i 7 nie mają zastosowania w UE.</w:t>
            </w:r>
          </w:p>
          <w:p w14:paraId="3EB1EAD4" w14:textId="269F10A9" w:rsidR="00351A65" w:rsidRPr="00232C88" w:rsidRDefault="00E577AC" w:rsidP="00AD7048">
            <w:pPr>
              <w:pStyle w:val="Default"/>
              <w:spacing w:after="120"/>
              <w:jc w:val="both"/>
              <w:rPr>
                <w:rFonts w:ascii="Times New Roman" w:hAnsi="Times New Roman" w:cs="Times New Roman"/>
                <w:color w:val="auto"/>
              </w:rPr>
            </w:pPr>
            <w:r>
              <w:rPr>
                <w:rFonts w:ascii="Times New Roman" w:hAnsi="Times New Roman"/>
                <w:color w:val="auto"/>
              </w:rPr>
              <w:t xml:space="preserve">W wierszu 8 „Inne” instytucje ujawniają ekspozycje przypisane do kategorii ekspozycji objętych metodą IRB „Inne aktywa niegenerujące zobowiązania </w:t>
            </w:r>
            <w:r>
              <w:rPr>
                <w:rFonts w:ascii="Times New Roman" w:hAnsi="Times New Roman"/>
                <w:color w:val="auto"/>
              </w:rPr>
              <w:lastRenderedPageBreak/>
              <w:t>kredytowego” oraz ekspozycje objęte metodą IRB, które zostałyby przypisane do kategorii ekspozycji objętych metodą standardową „Inne pozycje”.</w:t>
            </w:r>
          </w:p>
        </w:tc>
      </w:tr>
      <w:tr w:rsidR="00232C88" w:rsidRPr="004A7312" w14:paraId="7F77F0D9" w14:textId="77777777" w:rsidTr="4D769726">
        <w:trPr>
          <w:trHeight w:val="557"/>
        </w:trPr>
        <w:tc>
          <w:tcPr>
            <w:tcW w:w="1384" w:type="dxa"/>
          </w:tcPr>
          <w:p w14:paraId="5E733F55" w14:textId="375FAD05" w:rsidR="00351A65" w:rsidRPr="00232C88" w:rsidRDefault="00351A65" w:rsidP="00351A65">
            <w:pPr>
              <w:pStyle w:val="Applicationdirecte"/>
              <w:spacing w:before="60"/>
              <w:jc w:val="center"/>
            </w:pPr>
            <w:r>
              <w:lastRenderedPageBreak/>
              <w:t>9</w:t>
            </w:r>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rPr>
            </w:pPr>
            <w:r>
              <w:rPr>
                <w:rFonts w:ascii="Times New Roman" w:hAnsi="Times New Roman"/>
                <w:b/>
                <w:sz w:val="24"/>
              </w:rPr>
              <w:t>Ogółem</w:t>
            </w:r>
          </w:p>
          <w:p w14:paraId="06517EBE" w14:textId="5F936741" w:rsidR="00351A65" w:rsidRPr="00232C88" w:rsidRDefault="00112469" w:rsidP="49BB7348">
            <w:pPr>
              <w:spacing w:before="60" w:after="120"/>
              <w:jc w:val="both"/>
              <w:rPr>
                <w:rFonts w:ascii="Times New Roman" w:hAnsi="Times New Roman" w:cs="Times New Roman"/>
                <w:b/>
                <w:bCs/>
                <w:sz w:val="24"/>
              </w:rPr>
            </w:pPr>
            <w:r>
              <w:rPr>
                <w:rFonts w:ascii="Times New Roman" w:hAnsi="Times New Roman"/>
                <w:sz w:val="24"/>
              </w:rPr>
              <w:t>Suma wierszy 1, EU 1a, EU 1b, EU 1c, EU 1d, 2, 3, 5, 6, EU 7a, EU 7b, EU 7c, EU 7d, EU 7e, EU 7f, 8.</w:t>
            </w:r>
          </w:p>
        </w:tc>
      </w:tr>
    </w:tbl>
    <w:p w14:paraId="08B5F67F" w14:textId="77777777" w:rsidR="00AF3FBC" w:rsidRPr="00232C88" w:rsidRDefault="00AF3FBC" w:rsidP="00254EDB">
      <w:pPr>
        <w:pStyle w:val="Titlelevel2"/>
        <w:spacing w:before="120" w:after="120"/>
        <w:ind w:left="66"/>
        <w:rPr>
          <w:rFonts w:ascii="Times New Roman" w:hAnsi="Times New Roman" w:cs="Times New Roman"/>
          <w:color w:val="auto"/>
          <w:sz w:val="24"/>
          <w:lang w:val="fr-FR"/>
        </w:rPr>
      </w:pPr>
    </w:p>
    <w:p w14:paraId="6BCCF525" w14:textId="77777777" w:rsidR="0090729F" w:rsidRPr="00232C88" w:rsidRDefault="0090729F" w:rsidP="0090729F">
      <w:pPr>
        <w:rP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8"/>
      <w:headerReference w:type="default" r:id="rId9"/>
      <w:footerReference w:type="even" r:id="rId10"/>
      <w:footerReference w:type="default" r:id="rId11"/>
      <w:head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ma14="http://schemas.microsoft.com/office/mac/drawingml/2011/main" xmlns:a="http://schemas.openxmlformats.org/drawingml/2006/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7613435C" w:rsidR="00254EDB" w:rsidRPr="00346640" w:rsidRDefault="00254EDB" w:rsidP="004B070F">
      <w:pPr>
        <w:pStyle w:val="FootnoteText"/>
        <w:rPr>
          <w:rFonts w:eastAsia="Calibri"/>
        </w:rPr>
      </w:pPr>
      <w:r>
        <w:rPr>
          <w:rStyle w:val="FootnoteReference"/>
          <w:rFonts w:cstheme="minorHAnsi"/>
          <w:sz w:val="18"/>
        </w:rPr>
        <w:footnoteRef/>
      </w:r>
      <w:r>
        <w:tab/>
        <w:t>Rozporządzenie Parlamentu Europejskiego i Rady (UE) nr 575/2013 z dnia 26 czerwca 2013 r. w sprawie wymogów ostrożnościowych dla instytucji kredytowych i firm inwestycyjnych, zmieniające rozporządzenie (UE) nr 648/2012, zmienione rozporządzeniem (UE) 2024/1623 (</w:t>
      </w:r>
      <w:hyperlink r:id="rId1" w:history="1">
        <w:r>
          <w:rPr>
            <w:color w:val="800080"/>
            <w:u w:val="single"/>
          </w:rPr>
          <w:t>Dz.U. L 176 z 27.6.2013, s. 1</w:t>
        </w:r>
      </w:hyperlink>
      <w:r>
        <w:t>)</w:t>
      </w:r>
      <w:r>
        <w:rPr>
          <w:color w:val="800080"/>
          <w:u w:val="single"/>
        </w:rPr>
        <w:t xml:space="preserve">; </w:t>
      </w:r>
      <w:hyperlink r:id="rId2" w:history="1">
        <w:r>
          <w:rPr>
            <w:rStyle w:val="Hyperlink"/>
          </w:rPr>
          <w:t>Rozporządzenie - UE - 2024/1623 - PL - EUR-Lex (europa.eu)</w:t>
        </w:r>
      </w:hyperlink>
      <w:r>
        <w:rPr>
          <w:color w:val="444444"/>
        </w:rPr>
        <w:t>)</w:t>
      </w:r>
      <w:r>
        <w:t>.</w:t>
      </w:r>
    </w:p>
  </w:footnote>
  <w:footnote w:id="3">
    <w:p w14:paraId="65DAF6E3" w14:textId="5241BF60" w:rsidR="00254EDB" w:rsidRPr="00222AAB" w:rsidRDefault="00254EDB" w:rsidP="004B070F">
      <w:pPr>
        <w:pStyle w:val="FootnoteText"/>
      </w:pPr>
      <w:r>
        <w:rPr>
          <w:rStyle w:val="FootnoteReference"/>
          <w:rFonts w:cstheme="minorHAnsi"/>
          <w:sz w:val="18"/>
        </w:rPr>
        <w:footnoteRef/>
      </w:r>
      <w:r>
        <w:tab/>
        <w:t>Zmienione wytyczne EUNB dotyczące wspólnych procedur i metod stosowanych w ramach procesu przeglądu i oceny nadzorczej oraz nadzorczych testów warunków skrajnych (EBA/GL/2018/03, 19 lipca 2018 r.).</w:t>
      </w:r>
    </w:p>
  </w:footnote>
  <w:footnote w:id="4">
    <w:p w14:paraId="6EEE1EF0" w14:textId="468CF1D3" w:rsidR="00254EDB" w:rsidRPr="00222AAB" w:rsidRDefault="00254EDB" w:rsidP="004B070F">
      <w:pPr>
        <w:pStyle w:val="FootnoteText"/>
      </w:pPr>
      <w:r>
        <w:rPr>
          <w:rStyle w:val="FootnoteReference"/>
          <w:rFonts w:cstheme="minorHAnsi"/>
          <w:sz w:val="18"/>
        </w:rPr>
        <w:footnoteRef/>
      </w:r>
      <w:r>
        <w:tab/>
        <w:t>Rozporządzenie delegowane Komisji (UE) 2015/61 z dnia 10 października 2014 r. uzupełniające rozporządzenie Parlamentu Europejskiego i Rady (UE) nr 575/2013 w odniesieniu do wymogu pokrycia wypływów netto dla instytucji kredytowych (Dz.U. L 11 z 17.1.2015, s. 1).</w:t>
      </w:r>
    </w:p>
  </w:footnote>
  <w:footnote w:id="5">
    <w:p w14:paraId="2A17ED68" w14:textId="5745B56A" w:rsidR="00254EDB" w:rsidRPr="00222AAB" w:rsidRDefault="00254EDB" w:rsidP="004B070F">
      <w:pPr>
        <w:pStyle w:val="FootnoteText"/>
      </w:pPr>
      <w:r>
        <w:rPr>
          <w:rStyle w:val="FootnoteReference"/>
          <w:rFonts w:cstheme="minorHAnsi"/>
          <w:sz w:val="18"/>
        </w:rPr>
        <w:footnoteRef/>
      </w:r>
      <w:r>
        <w:tab/>
        <w:t>Dyrektywa 2002/87/WE Parlamentu Europejskiego i Rady z dnia 16 grudnia 2002 r. w sprawie dodatkowego nadzoru nad instytucjami kredytowymi, zakładami ubezpieczeń oraz przedsiębiorstwami inwestycyjnymi konglomeratu finansowego i zmieniająca dyrektywy Rady 73/239/EWG, 79/267/EWG, 92/49/EWG, 92/96/EWG, 93/6/EWG i 93/22/EWG oraz dyrektywy 98/78/WE i 2000/12/WE Parlamentu Europejskiego i Rady (Dz.U. L 35 z 11.2.2003,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Title:  - Description: EUNB – Standardowe wykorzystani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r>
      <w:t>w tym miejscu należy umieścić odpowiednią czcionką skróconą wersję tytułu</w:t>
    </w:r>
    <w:r>
      <w:rPr>
        <w:noProof/>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14="http://schemas.microsoft.com/office/drawing/2010/main"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clsh="http://schemas.microsoft.com/office/drawing/2020/classificationShape"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97A649D"/>
    <w:multiLevelType w:val="hybridMultilevel"/>
    <w:tmpl w:val="3140B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7"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4"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5"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7"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2"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5"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1"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4"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50"/>
  </w:num>
  <w:num w:numId="2" w16cid:durableId="2034720164">
    <w:abstractNumId w:val="48"/>
  </w:num>
  <w:num w:numId="3" w16cid:durableId="634917962">
    <w:abstractNumId w:val="7"/>
  </w:num>
  <w:num w:numId="4" w16cid:durableId="1625036184">
    <w:abstractNumId w:val="29"/>
  </w:num>
  <w:num w:numId="5" w16cid:durableId="501313629">
    <w:abstractNumId w:val="37"/>
  </w:num>
  <w:num w:numId="6" w16cid:durableId="125977460">
    <w:abstractNumId w:val="72"/>
  </w:num>
  <w:num w:numId="7" w16cid:durableId="1492795710">
    <w:abstractNumId w:val="2"/>
  </w:num>
  <w:num w:numId="8" w16cid:durableId="848526939">
    <w:abstractNumId w:val="70"/>
  </w:num>
  <w:num w:numId="9" w16cid:durableId="984771423">
    <w:abstractNumId w:val="54"/>
  </w:num>
  <w:num w:numId="10" w16cid:durableId="1745374140">
    <w:abstractNumId w:val="1"/>
  </w:num>
  <w:num w:numId="11" w16cid:durableId="435634678">
    <w:abstractNumId w:val="26"/>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6"/>
  </w:num>
  <w:num w:numId="16" w16cid:durableId="247931651">
    <w:abstractNumId w:val="11"/>
  </w:num>
  <w:num w:numId="17" w16cid:durableId="629675290">
    <w:abstractNumId w:val="76"/>
  </w:num>
  <w:num w:numId="18" w16cid:durableId="974874027">
    <w:abstractNumId w:val="58"/>
  </w:num>
  <w:num w:numId="19" w16cid:durableId="1402370064">
    <w:abstractNumId w:val="15"/>
  </w:num>
  <w:num w:numId="20" w16cid:durableId="849754039">
    <w:abstractNumId w:val="68"/>
  </w:num>
  <w:num w:numId="21" w16cid:durableId="1555045502">
    <w:abstractNumId w:val="16"/>
  </w:num>
  <w:num w:numId="22" w16cid:durableId="1983996845">
    <w:abstractNumId w:val="18"/>
  </w:num>
  <w:num w:numId="23" w16cid:durableId="1147625497">
    <w:abstractNumId w:val="53"/>
  </w:num>
  <w:num w:numId="24" w16cid:durableId="1494492982">
    <w:abstractNumId w:val="69"/>
  </w:num>
  <w:num w:numId="25" w16cid:durableId="1590187734">
    <w:abstractNumId w:val="5"/>
  </w:num>
  <w:num w:numId="26" w16cid:durableId="344672669">
    <w:abstractNumId w:val="28"/>
  </w:num>
  <w:num w:numId="27" w16cid:durableId="1398357806">
    <w:abstractNumId w:val="52"/>
  </w:num>
  <w:num w:numId="28" w16cid:durableId="1492793236">
    <w:abstractNumId w:val="25"/>
  </w:num>
  <w:num w:numId="29" w16cid:durableId="1828474610">
    <w:abstractNumId w:val="64"/>
  </w:num>
  <w:num w:numId="30" w16cid:durableId="1626891959">
    <w:abstractNumId w:val="14"/>
  </w:num>
  <w:num w:numId="31" w16cid:durableId="1056274108">
    <w:abstractNumId w:val="0"/>
  </w:num>
  <w:num w:numId="32" w16cid:durableId="696277863">
    <w:abstractNumId w:val="8"/>
  </w:num>
  <w:num w:numId="33" w16cid:durableId="797451239">
    <w:abstractNumId w:val="56"/>
  </w:num>
  <w:num w:numId="34" w16cid:durableId="533270072">
    <w:abstractNumId w:val="9"/>
  </w:num>
  <w:num w:numId="35" w16cid:durableId="1297645551">
    <w:abstractNumId w:val="40"/>
  </w:num>
  <w:num w:numId="36" w16cid:durableId="69499067">
    <w:abstractNumId w:val="20"/>
  </w:num>
  <w:num w:numId="37" w16cid:durableId="1786077219">
    <w:abstractNumId w:val="73"/>
  </w:num>
  <w:num w:numId="38" w16cid:durableId="1849715892">
    <w:abstractNumId w:val="44"/>
  </w:num>
  <w:num w:numId="39" w16cid:durableId="470027272">
    <w:abstractNumId w:val="43"/>
  </w:num>
  <w:num w:numId="40" w16cid:durableId="2091150559">
    <w:abstractNumId w:val="34"/>
  </w:num>
  <w:num w:numId="41" w16cid:durableId="1097024714">
    <w:abstractNumId w:val="55"/>
  </w:num>
  <w:num w:numId="42" w16cid:durableId="265041195">
    <w:abstractNumId w:val="65"/>
  </w:num>
  <w:num w:numId="43" w16cid:durableId="12985317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7"/>
  </w:num>
  <w:num w:numId="46" w16cid:durableId="650133405">
    <w:abstractNumId w:val="13"/>
  </w:num>
  <w:num w:numId="47" w16cid:durableId="1201744292">
    <w:abstractNumId w:val="39"/>
  </w:num>
  <w:num w:numId="48" w16cid:durableId="647905348">
    <w:abstractNumId w:val="41"/>
  </w:num>
  <w:num w:numId="49" w16cid:durableId="1246379891">
    <w:abstractNumId w:val="47"/>
  </w:num>
  <w:num w:numId="50" w16cid:durableId="1353142639">
    <w:abstractNumId w:val="30"/>
  </w:num>
  <w:num w:numId="51" w16cid:durableId="1033925350">
    <w:abstractNumId w:val="60"/>
  </w:num>
  <w:num w:numId="52" w16cid:durableId="530728398">
    <w:abstractNumId w:val="17"/>
  </w:num>
  <w:num w:numId="53" w16cid:durableId="1722052236">
    <w:abstractNumId w:val="75"/>
  </w:num>
  <w:num w:numId="54" w16cid:durableId="1314481135">
    <w:abstractNumId w:val="67"/>
  </w:num>
  <w:num w:numId="55" w16cid:durableId="497500178">
    <w:abstractNumId w:val="51"/>
  </w:num>
  <w:num w:numId="56" w16cid:durableId="1023288254">
    <w:abstractNumId w:val="66"/>
  </w:num>
  <w:num w:numId="57" w16cid:durableId="320694590">
    <w:abstractNumId w:val="74"/>
  </w:num>
  <w:num w:numId="58" w16cid:durableId="427307897">
    <w:abstractNumId w:val="6"/>
  </w:num>
  <w:num w:numId="59" w16cid:durableId="2117291170">
    <w:abstractNumId w:val="49"/>
  </w:num>
  <w:num w:numId="60" w16cid:durableId="1085302267">
    <w:abstractNumId w:val="32"/>
  </w:num>
  <w:num w:numId="61" w16cid:durableId="79260767">
    <w:abstractNumId w:val="22"/>
  </w:num>
  <w:num w:numId="62" w16cid:durableId="1940403543">
    <w:abstractNumId w:val="33"/>
  </w:num>
  <w:num w:numId="63" w16cid:durableId="139688166">
    <w:abstractNumId w:val="3"/>
  </w:num>
  <w:num w:numId="64" w16cid:durableId="1830436411">
    <w:abstractNumId w:val="21"/>
  </w:num>
  <w:num w:numId="65" w16cid:durableId="2121678578">
    <w:abstractNumId w:val="27"/>
  </w:num>
  <w:num w:numId="66" w16cid:durableId="374044681">
    <w:abstractNumId w:val="10"/>
  </w:num>
  <w:num w:numId="67" w16cid:durableId="1605650266">
    <w:abstractNumId w:val="59"/>
  </w:num>
  <w:num w:numId="68" w16cid:durableId="1737975728">
    <w:abstractNumId w:val="71"/>
  </w:num>
  <w:num w:numId="69" w16cid:durableId="2002196286">
    <w:abstractNumId w:val="63"/>
  </w:num>
  <w:num w:numId="70" w16cid:durableId="1111634297">
    <w:abstractNumId w:val="35"/>
  </w:num>
  <w:num w:numId="71" w16cid:durableId="1916090807">
    <w:abstractNumId w:val="42"/>
  </w:num>
  <w:num w:numId="72" w16cid:durableId="610163597">
    <w:abstractNumId w:val="38"/>
  </w:num>
  <w:num w:numId="73" w16cid:durableId="1496069310">
    <w:abstractNumId w:val="12"/>
  </w:num>
  <w:num w:numId="74" w16cid:durableId="977108779">
    <w:abstractNumId w:val="62"/>
  </w:num>
  <w:num w:numId="75" w16cid:durableId="18701256">
    <w:abstractNumId w:val="4"/>
  </w:num>
  <w:num w:numId="76" w16cid:durableId="1094519072">
    <w:abstractNumId w:val="31"/>
  </w:num>
  <w:num w:numId="77" w16cid:durableId="1617443384">
    <w:abstractNumId w:val="36"/>
  </w:num>
  <w:num w:numId="78" w16cid:durableId="1268926257">
    <w:abstractNumId w:val="45"/>
  </w:num>
  <w:num w:numId="79" w16cid:durableId="978068849">
    <w:abstractNumId w:val="46"/>
    <w:lvlOverride w:ilvl="0">
      <w:startOverride w:val="1"/>
    </w:lvlOverride>
  </w:num>
  <w:num w:numId="80" w16cid:durableId="232933388">
    <w:abstractNumId w:val="2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1540"/>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987"/>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4660"/>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4C3"/>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044"/>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58D6"/>
    <w:rsid w:val="0023633E"/>
    <w:rsid w:val="0023741B"/>
    <w:rsid w:val="00237CC4"/>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85768"/>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C85"/>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568B9"/>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0D09"/>
    <w:rsid w:val="003B2F1D"/>
    <w:rsid w:val="003B4C84"/>
    <w:rsid w:val="003B5CA1"/>
    <w:rsid w:val="003B6056"/>
    <w:rsid w:val="003B6A5A"/>
    <w:rsid w:val="003B7D75"/>
    <w:rsid w:val="003C01F6"/>
    <w:rsid w:val="003C0305"/>
    <w:rsid w:val="003C095D"/>
    <w:rsid w:val="003C1B00"/>
    <w:rsid w:val="003C1E4F"/>
    <w:rsid w:val="003C20CD"/>
    <w:rsid w:val="003C2B40"/>
    <w:rsid w:val="003C332D"/>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312"/>
    <w:rsid w:val="004A7965"/>
    <w:rsid w:val="004B070F"/>
    <w:rsid w:val="004B089B"/>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1F3"/>
    <w:rsid w:val="00576B59"/>
    <w:rsid w:val="00576BDE"/>
    <w:rsid w:val="00582578"/>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5F7007"/>
    <w:rsid w:val="005F7A18"/>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BB2"/>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263C1"/>
    <w:rsid w:val="00726C67"/>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0CBA"/>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60D6"/>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2610"/>
    <w:rsid w:val="009A3EE8"/>
    <w:rsid w:val="009A4635"/>
    <w:rsid w:val="009A5D7A"/>
    <w:rsid w:val="009A6978"/>
    <w:rsid w:val="009B033C"/>
    <w:rsid w:val="009B1BD7"/>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C7855"/>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3E7D"/>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24A0"/>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3BA4"/>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D7C7A"/>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2DA7"/>
    <w:rsid w:val="00E432CC"/>
    <w:rsid w:val="00E43903"/>
    <w:rsid w:val="00E44FA7"/>
    <w:rsid w:val="00E4695A"/>
    <w:rsid w:val="00E50210"/>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0625"/>
    <w:rsid w:val="00EA10E7"/>
    <w:rsid w:val="00EA1574"/>
    <w:rsid w:val="00EA1807"/>
    <w:rsid w:val="00EA38FE"/>
    <w:rsid w:val="00EA4947"/>
    <w:rsid w:val="00EA5554"/>
    <w:rsid w:val="00EA6540"/>
    <w:rsid w:val="00EA735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34AC"/>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6E0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B745E"/>
    <w:rsid w:val="00FC0E1A"/>
    <w:rsid w:val="00FC1D72"/>
    <w:rsid w:val="00FC1F2A"/>
    <w:rsid w:val="00FC2827"/>
    <w:rsid w:val="00FC40CE"/>
    <w:rsid w:val="00FC5BDA"/>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pl-PL"/>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pl-PL"/>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pl-PL"/>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pl-PL"/>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pl-PL"/>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l-PL"/>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rPr>
  </w:style>
  <w:style w:type="paragraph" w:customStyle="1" w:styleId="CM31">
    <w:name w:val="CM3+1"/>
    <w:basedOn w:val="Default"/>
    <w:next w:val="Default"/>
    <w:uiPriority w:val="99"/>
    <w:rsid w:val="008539BB"/>
    <w:rPr>
      <w:rFonts w:ascii="EUAlbertina" w:eastAsiaTheme="minorEastAsia" w:hAnsi="EUAlbertina" w:cstheme="minorBidi"/>
      <w:color w:val="auto"/>
    </w:rPr>
  </w:style>
  <w:style w:type="paragraph" w:customStyle="1" w:styleId="CM13">
    <w:name w:val="CM1+3"/>
    <w:basedOn w:val="Default"/>
    <w:next w:val="Default"/>
    <w:uiPriority w:val="99"/>
    <w:rsid w:val="004B3092"/>
    <w:rPr>
      <w:rFonts w:ascii="EUAlbertina" w:eastAsiaTheme="minorEastAsia" w:hAnsi="EUAlbertina" w:cstheme="minorBidi"/>
      <w:color w:val="auto"/>
    </w:rPr>
  </w:style>
  <w:style w:type="paragraph" w:customStyle="1" w:styleId="CM33">
    <w:name w:val="CM3+3"/>
    <w:basedOn w:val="Default"/>
    <w:next w:val="Default"/>
    <w:uiPriority w:val="99"/>
    <w:rsid w:val="004B3092"/>
    <w:rPr>
      <w:rFonts w:ascii="EUAlbertina" w:eastAsiaTheme="minorEastAsia" w:hAnsi="EUAlbertina" w:cstheme="minorBidi"/>
      <w:color w:val="auto"/>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677BB2"/>
    <w:rPr>
      <w:rFonts w:ascii="Times New Roman" w:hAnsi="Times New Roman" w:cs="Times New Roman"/>
      <w:b/>
      <w:bCs/>
      <w:lang w:val="pl-PL" w:eastAsia="de-DE"/>
    </w:rPr>
  </w:style>
  <w:style w:type="paragraph" w:customStyle="1" w:styleId="InstructionsText">
    <w:name w:val="Instructions Text"/>
    <w:basedOn w:val="Normal"/>
    <w:link w:val="InstructionsTextChar"/>
    <w:autoRedefine/>
    <w:rsid w:val="00677BB2"/>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pl-PL"/>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pl-PL"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customXml/itemProps2.xml><?xml version="1.0" encoding="utf-8"?>
<ds:datastoreItem xmlns:ds="http://schemas.openxmlformats.org/officeDocument/2006/customXml" ds:itemID="{33E4CEB6-B3F6-4825-AD91-2B0C8458C30B}"/>
</file>

<file path=customXml/itemProps3.xml><?xml version="1.0" encoding="utf-8"?>
<ds:datastoreItem xmlns:ds="http://schemas.openxmlformats.org/officeDocument/2006/customXml" ds:itemID="{1B7C023E-32B7-4B60-89E3-CB3854700B77}"/>
</file>

<file path=customXml/itemProps4.xml><?xml version="1.0" encoding="utf-8"?>
<ds:datastoreItem xmlns:ds="http://schemas.openxmlformats.org/officeDocument/2006/customXml" ds:itemID="{33719F44-1622-49F8-8E24-ABBF5B83928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6023</Words>
  <Characters>37285</Characters>
  <Application>Microsoft Office Word</Application>
  <DocSecurity>0</DocSecurity>
  <Lines>932</Lines>
  <Paragraphs>492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2024-10-17T10:25:00Z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2024-06-28T07:57:22Z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6751ffcc-0dd9-4bf6-bdf7-157d1d36e1fb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